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72551" w14:textId="1111815D" w:rsidR="00D425B1" w:rsidRPr="00D425B1" w:rsidRDefault="00D425B1" w:rsidP="00D425B1">
      <w:pPr>
        <w:pStyle w:val="1"/>
        <w:rPr>
          <w:rFonts w:ascii="Arial" w:hAnsi="Arial" w:cs="Arial"/>
          <w:b/>
          <w:bCs/>
          <w:color w:val="auto"/>
        </w:rPr>
      </w:pPr>
      <w:r w:rsidRPr="00D425B1">
        <w:rPr>
          <w:rFonts w:ascii="Arial" w:hAnsi="Arial" w:cs="Arial"/>
          <w:b/>
          <w:bCs/>
          <w:color w:val="auto"/>
        </w:rPr>
        <w:t>Анализ российского рынка кейтеринга: итоги 2023 г., прогноз до 2027 г.</w:t>
      </w:r>
    </w:p>
    <w:p w14:paraId="3D5F98E6" w14:textId="77777777" w:rsidR="00D425B1" w:rsidRPr="00D425B1" w:rsidRDefault="00D425B1" w:rsidP="00D425B1">
      <w:pPr>
        <w:rPr>
          <w:rFonts w:ascii="Arial" w:hAnsi="Arial" w:cs="Arial"/>
        </w:rPr>
      </w:pPr>
    </w:p>
    <w:p w14:paraId="17798ECB" w14:textId="77777777" w:rsidR="00D425B1" w:rsidRPr="00D425B1" w:rsidRDefault="00D425B1" w:rsidP="00D425B1">
      <w:pPr>
        <w:rPr>
          <w:rFonts w:ascii="Arial" w:hAnsi="Arial" w:cs="Arial"/>
          <w:b/>
          <w:bCs/>
          <w:i/>
          <w:iCs/>
        </w:rPr>
      </w:pPr>
      <w:r w:rsidRPr="00D425B1">
        <w:rPr>
          <w:rFonts w:ascii="Arial" w:hAnsi="Arial" w:cs="Arial"/>
          <w:b/>
          <w:bCs/>
          <w:i/>
          <w:iCs/>
        </w:rPr>
        <w:t>В феврале 2024 года исследовательская компания NeoAnalytics завершила проведение маркетингового исследования российского рынка кейтеринга.</w:t>
      </w:r>
    </w:p>
    <w:p w14:paraId="2D67B00E" w14:textId="77777777" w:rsidR="00D425B1" w:rsidRPr="00D425B1" w:rsidRDefault="00D425B1" w:rsidP="00D425B1">
      <w:pPr>
        <w:rPr>
          <w:rFonts w:ascii="Arial" w:hAnsi="Arial" w:cs="Arial"/>
        </w:rPr>
      </w:pPr>
    </w:p>
    <w:p w14:paraId="7DD9C64D" w14:textId="77777777" w:rsidR="00D425B1" w:rsidRPr="00D425B1" w:rsidRDefault="00D425B1" w:rsidP="00D425B1">
      <w:pPr>
        <w:rPr>
          <w:rFonts w:ascii="Arial" w:hAnsi="Arial" w:cs="Arial"/>
        </w:rPr>
      </w:pPr>
      <w:r w:rsidRPr="00D425B1">
        <w:rPr>
          <w:rFonts w:ascii="Arial" w:hAnsi="Arial" w:cs="Arial"/>
        </w:rPr>
        <w:t>В ходе исследования, проведенного NeoAnalytics на тему «Российский рынок кейтеринга: итоги 2023 г., прогноз до 2027 г.», выяснилось, что  наиболее востребованным форматом кейтеринга в 2023 г. был буфет - около 62% от общего количества мероприятий, доля банкета составляла 34%, на формат коктейль-приём пришлось около 4%.</w:t>
      </w:r>
    </w:p>
    <w:p w14:paraId="2699612D" w14:textId="77777777" w:rsidR="00D425B1" w:rsidRPr="00D425B1" w:rsidRDefault="00D425B1" w:rsidP="00D425B1">
      <w:pPr>
        <w:rPr>
          <w:rFonts w:ascii="Arial" w:hAnsi="Arial" w:cs="Arial"/>
        </w:rPr>
      </w:pPr>
    </w:p>
    <w:p w14:paraId="6531AFB8" w14:textId="77777777" w:rsidR="00D425B1" w:rsidRPr="00D425B1" w:rsidRDefault="00D425B1" w:rsidP="00D425B1">
      <w:pPr>
        <w:rPr>
          <w:rFonts w:ascii="Arial" w:hAnsi="Arial" w:cs="Arial"/>
        </w:rPr>
      </w:pPr>
      <w:r w:rsidRPr="00D425B1">
        <w:rPr>
          <w:rFonts w:ascii="Arial" w:hAnsi="Arial" w:cs="Arial"/>
        </w:rPr>
        <w:t xml:space="preserve">В 2023 г. на рынке стали появляться новые компании, усилилась конкуренция. При этом, на рынок стали приходить предприниматели из смежных отраслей, например, </w:t>
      </w:r>
      <w:proofErr w:type="spellStart"/>
      <w:r w:rsidRPr="00D425B1">
        <w:rPr>
          <w:rFonts w:ascii="Arial" w:hAnsi="Arial" w:cs="Arial"/>
        </w:rPr>
        <w:t>event</w:t>
      </w:r>
      <w:proofErr w:type="spellEnd"/>
      <w:r w:rsidRPr="00D425B1">
        <w:rPr>
          <w:rFonts w:ascii="Arial" w:hAnsi="Arial" w:cs="Arial"/>
        </w:rPr>
        <w:t xml:space="preserve"> агентства. Усилилось продвижение услуг через </w:t>
      </w:r>
      <w:proofErr w:type="spellStart"/>
      <w:r w:rsidRPr="00D425B1">
        <w:rPr>
          <w:rFonts w:ascii="Arial" w:hAnsi="Arial" w:cs="Arial"/>
        </w:rPr>
        <w:t>smm</w:t>
      </w:r>
      <w:proofErr w:type="spellEnd"/>
      <w:r w:rsidRPr="00D425B1">
        <w:rPr>
          <w:rFonts w:ascii="Arial" w:hAnsi="Arial" w:cs="Arial"/>
        </w:rPr>
        <w:t xml:space="preserve"> каналы.</w:t>
      </w:r>
    </w:p>
    <w:p w14:paraId="3E2F24C6" w14:textId="77777777" w:rsidR="00D425B1" w:rsidRPr="00D425B1" w:rsidRDefault="00D425B1" w:rsidP="00D425B1">
      <w:pPr>
        <w:rPr>
          <w:rFonts w:ascii="Arial" w:hAnsi="Arial" w:cs="Arial"/>
        </w:rPr>
      </w:pPr>
    </w:p>
    <w:p w14:paraId="31A28E3B" w14:textId="77777777" w:rsidR="00D425B1" w:rsidRPr="00D425B1" w:rsidRDefault="00D425B1" w:rsidP="00D425B1">
      <w:pPr>
        <w:rPr>
          <w:rFonts w:ascii="Arial" w:hAnsi="Arial" w:cs="Arial"/>
        </w:rPr>
      </w:pPr>
      <w:r w:rsidRPr="00D425B1">
        <w:rPr>
          <w:rFonts w:ascii="Arial" w:hAnsi="Arial" w:cs="Arial"/>
        </w:rPr>
        <w:t>Всего в России существует более 710 кейтеринговых компаний, но лишь пять из них являются явными лидерами и занимают около 65% рынка. Данные компании специализируются в основном в корпоративном сегменте рынка и обслуживают крупнейшие предприятия России, в том числе и в регионах.</w:t>
      </w:r>
    </w:p>
    <w:p w14:paraId="44374028" w14:textId="77777777" w:rsidR="00D425B1" w:rsidRPr="00D425B1" w:rsidRDefault="00D425B1" w:rsidP="00D425B1">
      <w:pPr>
        <w:rPr>
          <w:rFonts w:ascii="Arial" w:hAnsi="Arial" w:cs="Arial"/>
        </w:rPr>
      </w:pPr>
    </w:p>
    <w:p w14:paraId="16A50664" w14:textId="77777777" w:rsidR="00D425B1" w:rsidRPr="00D425B1" w:rsidRDefault="00D425B1" w:rsidP="00D425B1">
      <w:pPr>
        <w:rPr>
          <w:rFonts w:ascii="Arial" w:hAnsi="Arial" w:cs="Arial"/>
        </w:rPr>
      </w:pPr>
      <w:r w:rsidRPr="00D425B1">
        <w:rPr>
          <w:rFonts w:ascii="Arial" w:hAnsi="Arial" w:cs="Arial"/>
        </w:rPr>
        <w:t>В 2023 г. объем российского рынка кейтеринга (совокупная выручка предприятий общественного питания по обслуживанию торжественных мероприятий и прочим видам организации питания) составил более 800 млрд. руб. и вырос за год на 9,3%. В 2023 г. многие компании отмечали уверенный рост бизнеса.</w:t>
      </w:r>
    </w:p>
    <w:p w14:paraId="53F2E539" w14:textId="77777777" w:rsidR="00D425B1" w:rsidRPr="00D425B1" w:rsidRDefault="00D425B1" w:rsidP="00D425B1">
      <w:pPr>
        <w:rPr>
          <w:rFonts w:ascii="Arial" w:hAnsi="Arial" w:cs="Arial"/>
        </w:rPr>
      </w:pPr>
    </w:p>
    <w:p w14:paraId="28508CB5" w14:textId="77777777" w:rsidR="00D425B1" w:rsidRPr="00D425B1" w:rsidRDefault="00D425B1" w:rsidP="00D425B1">
      <w:pPr>
        <w:rPr>
          <w:rFonts w:ascii="Arial" w:hAnsi="Arial" w:cs="Arial"/>
        </w:rPr>
      </w:pPr>
      <w:r w:rsidRPr="00D425B1">
        <w:rPr>
          <w:rFonts w:ascii="Arial" w:hAnsi="Arial" w:cs="Arial"/>
        </w:rPr>
        <w:t>По итогам 2022 г. объем рынка был зафиксирован на уровне 754,7 млрд. руб.  Снижение рынка составило 5,9%. Непосредственно в 2022 г. на рынок оказывали такие факторы, как экономическая неопределённость и уход из России иностранных компаний, которые отличаются высокими затратами на социальное обеспечение своих сотрудников.</w:t>
      </w:r>
    </w:p>
    <w:p w14:paraId="3532BCCB" w14:textId="77777777" w:rsidR="00D425B1" w:rsidRPr="00D425B1" w:rsidRDefault="00D425B1" w:rsidP="00D425B1">
      <w:pPr>
        <w:rPr>
          <w:rFonts w:ascii="Arial" w:hAnsi="Arial" w:cs="Arial"/>
        </w:rPr>
      </w:pPr>
    </w:p>
    <w:p w14:paraId="768184B2" w14:textId="77777777" w:rsidR="00D425B1" w:rsidRPr="00D425B1" w:rsidRDefault="00D425B1" w:rsidP="00D425B1">
      <w:pPr>
        <w:rPr>
          <w:rFonts w:ascii="Arial" w:hAnsi="Arial" w:cs="Arial"/>
        </w:rPr>
      </w:pPr>
      <w:r w:rsidRPr="00D425B1">
        <w:rPr>
          <w:rFonts w:ascii="Arial" w:hAnsi="Arial" w:cs="Arial"/>
        </w:rPr>
        <w:t xml:space="preserve">Необходимо отметить, что в сравнении с результатом 2017 г. объем рынка по итогам 2023 г. вырос практически в два раза.  </w:t>
      </w:r>
    </w:p>
    <w:p w14:paraId="61CC8F68" w14:textId="77777777" w:rsidR="00D425B1" w:rsidRPr="00D425B1" w:rsidRDefault="00D425B1" w:rsidP="00D425B1">
      <w:pPr>
        <w:rPr>
          <w:rFonts w:ascii="Arial" w:hAnsi="Arial" w:cs="Arial"/>
        </w:rPr>
      </w:pPr>
    </w:p>
    <w:p w14:paraId="7FA67499" w14:textId="77777777" w:rsidR="00D425B1" w:rsidRPr="00D425B1" w:rsidRDefault="00D425B1" w:rsidP="00D425B1">
      <w:pPr>
        <w:rPr>
          <w:rFonts w:ascii="Arial" w:hAnsi="Arial" w:cs="Arial"/>
        </w:rPr>
      </w:pPr>
      <w:r w:rsidRPr="00D425B1">
        <w:rPr>
          <w:rFonts w:ascii="Arial" w:hAnsi="Arial" w:cs="Arial"/>
        </w:rPr>
        <w:t>В настоящее время для российского рынка кейтеринга характерна высокая конкуренция и в ближайшие годы данная тенденция сохранится. В перспективе ожидается усиление позиций лидеров за счет ухода более мелких участников (в результате разорения или выталкивания с рынка).</w:t>
      </w:r>
    </w:p>
    <w:p w14:paraId="2FD42066" w14:textId="77777777" w:rsidR="00D425B1" w:rsidRPr="00D425B1" w:rsidRDefault="00D425B1" w:rsidP="00D425B1">
      <w:pPr>
        <w:rPr>
          <w:rFonts w:ascii="Arial" w:hAnsi="Arial" w:cs="Arial"/>
        </w:rPr>
      </w:pPr>
    </w:p>
    <w:p w14:paraId="77EBA49F" w14:textId="77777777" w:rsidR="00D425B1" w:rsidRPr="00D425B1" w:rsidRDefault="00D425B1" w:rsidP="00D425B1">
      <w:pPr>
        <w:rPr>
          <w:rFonts w:ascii="Arial" w:hAnsi="Arial" w:cs="Arial"/>
        </w:rPr>
      </w:pPr>
      <w:r w:rsidRPr="00D425B1">
        <w:rPr>
          <w:rFonts w:ascii="Arial" w:hAnsi="Arial" w:cs="Arial"/>
        </w:rPr>
        <w:t>Данный отчет является продуктом интеллектуальной собственностью исследовательской компании NeoAnalytics.</w:t>
      </w:r>
    </w:p>
    <w:p w14:paraId="2617511D" w14:textId="77777777" w:rsidR="00D425B1" w:rsidRPr="00D425B1" w:rsidRDefault="00D425B1" w:rsidP="00D425B1">
      <w:pPr>
        <w:rPr>
          <w:rFonts w:ascii="Arial" w:hAnsi="Arial" w:cs="Arial"/>
        </w:rPr>
      </w:pPr>
    </w:p>
    <w:p w14:paraId="59F99559" w14:textId="678F87FF" w:rsidR="00D425B1" w:rsidRPr="00D425B1" w:rsidRDefault="00D425B1" w:rsidP="00D425B1">
      <w:pPr>
        <w:rPr>
          <w:rFonts w:ascii="Arial" w:hAnsi="Arial" w:cs="Arial"/>
        </w:rPr>
      </w:pPr>
      <w:r w:rsidRPr="00D425B1">
        <w:rPr>
          <w:rFonts w:ascii="Arial" w:hAnsi="Arial" w:cs="Arial"/>
        </w:rPr>
        <w:lastRenderedPageBreak/>
        <w:t>Более подробно с результатами исследования можно ознакомиться на официальном сайте www.neoanalytics.ru</w:t>
      </w:r>
    </w:p>
    <w:sectPr w:rsidR="00D425B1" w:rsidRPr="00D42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5B1"/>
    <w:rsid w:val="00664E58"/>
    <w:rsid w:val="00D4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507E4"/>
  <w15:chartTrackingRefBased/>
  <w15:docId w15:val="{7331100D-93CB-4F2F-BC73-57857BB9C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25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5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Караулова</dc:creator>
  <cp:keywords/>
  <dc:description/>
  <cp:lastModifiedBy>Дина Караулова</cp:lastModifiedBy>
  <cp:revision>1</cp:revision>
  <dcterms:created xsi:type="dcterms:W3CDTF">2024-05-29T14:33:00Z</dcterms:created>
  <dcterms:modified xsi:type="dcterms:W3CDTF">2024-05-29T14:35:00Z</dcterms:modified>
</cp:coreProperties>
</file>