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D" w:rsidRDefault="00FF3D7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238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0D" w:rsidRDefault="009F6F0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F6F0D" w:rsidRDefault="00FF3D7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9F6F0D" w:rsidRDefault="001C42E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FF3D73">
        <w:rPr>
          <w:b/>
          <w:color w:val="000000" w:themeColor="text1"/>
          <w:sz w:val="28"/>
          <w:szCs w:val="28"/>
        </w:rPr>
        <w:t xml:space="preserve"> июня 2024г.</w:t>
      </w:r>
    </w:p>
    <w:p w:rsidR="009F6F0D" w:rsidRDefault="00FF3D7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9F6F0D" w:rsidRDefault="009F6F0D">
      <w:pPr>
        <w:tabs>
          <w:tab w:val="left" w:pos="7530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F6F0D" w:rsidRDefault="00FF3D73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В АО "Желдорреммаш" запущен проект “</w:t>
      </w:r>
      <w:proofErr w:type="spellStart"/>
      <w:r>
        <w:rPr>
          <w:b/>
          <w:bCs/>
          <w:sz w:val="28"/>
          <w:szCs w:val="28"/>
        </w:rPr>
        <w:t>Дашборд</w:t>
      </w:r>
      <w:proofErr w:type="spellEnd"/>
      <w:r>
        <w:rPr>
          <w:b/>
          <w:bCs/>
          <w:sz w:val="28"/>
          <w:szCs w:val="28"/>
        </w:rPr>
        <w:t xml:space="preserve">”   </w:t>
      </w:r>
    </w:p>
    <w:p w:rsidR="009F6F0D" w:rsidRDefault="00FF3D73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9F6F0D" w:rsidRDefault="00FF3D73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В АО “Желдорреммаш” запущен уникальный инструмент управления и мониторинга - </w:t>
      </w:r>
      <w:proofErr w:type="spellStart"/>
      <w:r w:rsidR="007C2921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ашборд</w:t>
      </w:r>
      <w:proofErr w:type="spellEnd"/>
      <w:r>
        <w:rPr>
          <w:b/>
          <w:bCs/>
          <w:sz w:val="28"/>
          <w:szCs w:val="28"/>
        </w:rPr>
        <w:t xml:space="preserve">. Его цель - отслеживание в реальном времени ключевых показателей деятельности </w:t>
      </w:r>
      <w:r w:rsidR="001C42E0">
        <w:rPr>
          <w:b/>
          <w:bCs/>
          <w:sz w:val="28"/>
          <w:szCs w:val="28"/>
        </w:rPr>
        <w:t>компании в</w:t>
      </w:r>
      <w:r>
        <w:rPr>
          <w:b/>
          <w:bCs/>
          <w:sz w:val="28"/>
          <w:szCs w:val="28"/>
        </w:rPr>
        <w:t xml:space="preserve"> месячном и годовом значении, а также план</w:t>
      </w:r>
      <w:r w:rsidR="00F07DB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выполнения </w:t>
      </w:r>
      <w:r w:rsidR="001C42E0">
        <w:rPr>
          <w:b/>
          <w:bCs/>
          <w:sz w:val="28"/>
          <w:szCs w:val="28"/>
        </w:rPr>
        <w:t>различных</w:t>
      </w:r>
      <w:r>
        <w:rPr>
          <w:b/>
          <w:bCs/>
          <w:sz w:val="28"/>
          <w:szCs w:val="28"/>
        </w:rPr>
        <w:t xml:space="preserve"> </w:t>
      </w:r>
      <w:r w:rsidR="00F07DB9">
        <w:rPr>
          <w:b/>
          <w:bCs/>
          <w:sz w:val="28"/>
          <w:szCs w:val="28"/>
        </w:rPr>
        <w:t>параметров</w:t>
      </w:r>
      <w:r>
        <w:rPr>
          <w:b/>
          <w:bCs/>
          <w:sz w:val="28"/>
          <w:szCs w:val="28"/>
        </w:rPr>
        <w:t xml:space="preserve"> бережливого производства по каждой производственной площадке Общества. </w:t>
      </w:r>
    </w:p>
    <w:p w:rsidR="009F6F0D" w:rsidRDefault="001C42E0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F3D73">
        <w:rPr>
          <w:b/>
          <w:bCs/>
          <w:sz w:val="28"/>
          <w:szCs w:val="28"/>
        </w:rPr>
        <w:t xml:space="preserve"> </w:t>
      </w:r>
      <w:proofErr w:type="spellStart"/>
      <w:r w:rsidR="00FF3D73" w:rsidRPr="001C42E0">
        <w:rPr>
          <w:color w:val="212121"/>
          <w:sz w:val="28"/>
          <w:szCs w:val="28"/>
          <w:highlight w:val="white"/>
        </w:rPr>
        <w:t>Дашборд</w:t>
      </w:r>
      <w:proofErr w:type="spellEnd"/>
      <w:r w:rsidR="00FF3D73" w:rsidRPr="001C42E0">
        <w:rPr>
          <w:color w:val="212121"/>
          <w:sz w:val="28"/>
          <w:szCs w:val="28"/>
          <w:highlight w:val="white"/>
        </w:rPr>
        <w:t xml:space="preserve"> был разработан командой Управления развития производственной системы </w:t>
      </w:r>
      <w:r w:rsidR="00FF3D73">
        <w:rPr>
          <w:color w:val="212121"/>
          <w:sz w:val="28"/>
          <w:szCs w:val="28"/>
          <w:highlight w:val="white"/>
        </w:rPr>
        <w:t>центрального аппарата Желдорреммаш</w:t>
      </w:r>
      <w:r w:rsidR="00FF3D73" w:rsidRPr="001C42E0">
        <w:rPr>
          <w:color w:val="212121"/>
          <w:sz w:val="28"/>
          <w:szCs w:val="28"/>
          <w:highlight w:val="white"/>
        </w:rPr>
        <w:t>.</w:t>
      </w:r>
      <w:r w:rsidR="00FF3D73" w:rsidRPr="001C42E0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Он </w:t>
      </w:r>
      <w:r w:rsidRPr="001C42E0">
        <w:rPr>
          <w:bCs/>
          <w:sz w:val="28"/>
          <w:szCs w:val="28"/>
        </w:rPr>
        <w:t>представляет</w:t>
      </w:r>
      <w:r w:rsidR="00FF3D73" w:rsidRPr="001C42E0">
        <w:rPr>
          <w:color w:val="212121"/>
          <w:sz w:val="28"/>
          <w:szCs w:val="28"/>
          <w:highlight w:val="white"/>
        </w:rPr>
        <w:t xml:space="preserve"> собой информационную панель, </w:t>
      </w:r>
      <w:r w:rsidR="00FF3D73">
        <w:rPr>
          <w:color w:val="212121"/>
          <w:sz w:val="28"/>
          <w:szCs w:val="28"/>
          <w:highlight w:val="white"/>
        </w:rPr>
        <w:t xml:space="preserve">которая </w:t>
      </w:r>
      <w:r w:rsidR="00FF3D73" w:rsidRPr="001C42E0">
        <w:rPr>
          <w:color w:val="212121"/>
          <w:sz w:val="28"/>
          <w:szCs w:val="28"/>
          <w:highlight w:val="white"/>
        </w:rPr>
        <w:t>получа</w:t>
      </w:r>
      <w:r w:rsidR="00FF3D73">
        <w:rPr>
          <w:color w:val="212121"/>
          <w:sz w:val="28"/>
          <w:szCs w:val="28"/>
          <w:highlight w:val="white"/>
        </w:rPr>
        <w:t>ет</w:t>
      </w:r>
      <w:r w:rsidR="00FF3D73" w:rsidRPr="001C42E0">
        <w:rPr>
          <w:color w:val="212121"/>
          <w:sz w:val="28"/>
          <w:szCs w:val="28"/>
          <w:highlight w:val="white"/>
        </w:rPr>
        <w:t xml:space="preserve"> данные из </w:t>
      </w:r>
      <w:r w:rsidR="00FF3D73">
        <w:rPr>
          <w:color w:val="212121"/>
          <w:sz w:val="28"/>
          <w:szCs w:val="28"/>
          <w:highlight w:val="white"/>
        </w:rPr>
        <w:t>различных взаимосвязанных</w:t>
      </w:r>
      <w:r w:rsidR="00FF3D73" w:rsidRPr="001C42E0">
        <w:rPr>
          <w:color w:val="212121"/>
          <w:sz w:val="28"/>
          <w:szCs w:val="28"/>
          <w:highlight w:val="white"/>
        </w:rPr>
        <w:t xml:space="preserve"> систем, </w:t>
      </w:r>
      <w:r w:rsidR="00FF3D73">
        <w:rPr>
          <w:color w:val="212121"/>
          <w:sz w:val="28"/>
          <w:szCs w:val="28"/>
          <w:highlight w:val="white"/>
        </w:rPr>
        <w:t>консолидирует их</w:t>
      </w:r>
      <w:r w:rsidR="00FF3D73" w:rsidRPr="001C42E0">
        <w:rPr>
          <w:color w:val="212121"/>
          <w:sz w:val="28"/>
          <w:szCs w:val="28"/>
          <w:highlight w:val="white"/>
        </w:rPr>
        <w:t xml:space="preserve"> и отображает в понятном виде.  </w:t>
      </w:r>
      <w:r w:rsidR="00FF3D73">
        <w:rPr>
          <w:color w:val="212121"/>
          <w:sz w:val="28"/>
          <w:szCs w:val="28"/>
          <w:highlight w:val="white"/>
        </w:rPr>
        <w:t>Программа</w:t>
      </w:r>
      <w:r w:rsidR="00FF3D73" w:rsidRPr="001C42E0">
        <w:rPr>
          <w:color w:val="212121"/>
          <w:sz w:val="28"/>
          <w:szCs w:val="28"/>
          <w:highlight w:val="white"/>
        </w:rPr>
        <w:t xml:space="preserve"> позволяет отслеживать ключевые показатели деятельности компании в месячном и годовом разрезе, такие как «Уровень ДК </w:t>
      </w:r>
      <w:r w:rsidR="00FF3D73">
        <w:rPr>
          <w:color w:val="212121"/>
          <w:sz w:val="28"/>
          <w:szCs w:val="28"/>
          <w:highlight w:val="white"/>
          <w:lang w:val="en-US"/>
        </w:rPr>
        <w:t>TOS</w:t>
      </w:r>
      <w:r w:rsidR="00FF3D73" w:rsidRPr="001C42E0">
        <w:rPr>
          <w:color w:val="212121"/>
          <w:sz w:val="28"/>
          <w:szCs w:val="28"/>
          <w:highlight w:val="white"/>
        </w:rPr>
        <w:t>», «Статус по мероприятиям», «Статус по ПСЗ» и план выполнения остальных инструментов бережливого производства:  быстрая переналадка (</w:t>
      </w:r>
      <w:r w:rsidR="00FF3D73">
        <w:rPr>
          <w:color w:val="212121"/>
          <w:sz w:val="28"/>
          <w:szCs w:val="28"/>
          <w:highlight w:val="white"/>
          <w:lang w:val="en-US"/>
        </w:rPr>
        <w:t>SMED</w:t>
      </w:r>
      <w:r w:rsidR="00FF3D73" w:rsidRPr="001C42E0">
        <w:rPr>
          <w:color w:val="212121"/>
          <w:sz w:val="28"/>
          <w:szCs w:val="28"/>
          <w:highlight w:val="white"/>
        </w:rPr>
        <w:t>), всеобщий уход за оборудованием (</w:t>
      </w:r>
      <w:r w:rsidR="00FF3D73">
        <w:rPr>
          <w:color w:val="212121"/>
          <w:sz w:val="28"/>
          <w:szCs w:val="28"/>
          <w:highlight w:val="white"/>
          <w:lang w:val="en-US"/>
        </w:rPr>
        <w:t>TPM</w:t>
      </w:r>
      <w:r w:rsidR="00FF3D73" w:rsidRPr="001C42E0">
        <w:rPr>
          <w:color w:val="212121"/>
          <w:sz w:val="28"/>
          <w:szCs w:val="28"/>
          <w:highlight w:val="white"/>
        </w:rPr>
        <w:t xml:space="preserve">), адаптация регламентов, </w:t>
      </w:r>
      <w:proofErr w:type="spellStart"/>
      <w:r w:rsidR="00FF3D73" w:rsidRPr="001C42E0">
        <w:rPr>
          <w:color w:val="212121"/>
          <w:sz w:val="28"/>
          <w:szCs w:val="28"/>
          <w:highlight w:val="white"/>
        </w:rPr>
        <w:t>Кайдзен</w:t>
      </w:r>
      <w:proofErr w:type="spellEnd"/>
      <w:r w:rsidR="00FF3D73" w:rsidRPr="001C42E0">
        <w:rPr>
          <w:color w:val="212121"/>
          <w:sz w:val="28"/>
          <w:szCs w:val="28"/>
          <w:highlight w:val="white"/>
        </w:rPr>
        <w:t xml:space="preserve"> деятельность (предложения по улучшениям), стандартная операционная карта (СОК), обучение персонала, стенд визуального менеджмента (СВМ), карта потока создания ценности (КПСЦ), обмен опытом и система 5С.</w:t>
      </w:r>
    </w:p>
    <w:p w:rsidR="009F6F0D" w:rsidRPr="001C42E0" w:rsidRDefault="001C42E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  <w:highlight w:val="white"/>
        </w:rPr>
        <w:t xml:space="preserve">     </w:t>
      </w:r>
      <w:r w:rsidR="00FF3D73" w:rsidRPr="001C42E0">
        <w:rPr>
          <w:color w:val="212121"/>
          <w:sz w:val="28"/>
          <w:szCs w:val="28"/>
          <w:highlight w:val="white"/>
        </w:rPr>
        <w:t xml:space="preserve">   Ранее показатели можно было отслеживать раз месяц, сейчас же у руководителей </w:t>
      </w:r>
      <w:r w:rsidR="00FF3D73">
        <w:rPr>
          <w:color w:val="212121"/>
          <w:sz w:val="28"/>
          <w:szCs w:val="28"/>
          <w:highlight w:val="white"/>
        </w:rPr>
        <w:t xml:space="preserve">всех рангов </w:t>
      </w:r>
      <w:r w:rsidR="00FF3D73" w:rsidRPr="001C42E0">
        <w:rPr>
          <w:color w:val="212121"/>
          <w:sz w:val="28"/>
          <w:szCs w:val="28"/>
          <w:highlight w:val="white"/>
        </w:rPr>
        <w:t xml:space="preserve">есть доступ к </w:t>
      </w:r>
      <w:proofErr w:type="spellStart"/>
      <w:r w:rsidR="00FF3D73" w:rsidRPr="001C42E0">
        <w:rPr>
          <w:color w:val="212121"/>
          <w:sz w:val="28"/>
          <w:szCs w:val="28"/>
          <w:highlight w:val="white"/>
        </w:rPr>
        <w:t>дашборду</w:t>
      </w:r>
      <w:proofErr w:type="spellEnd"/>
      <w:r w:rsidR="00FF3D73" w:rsidRPr="001C42E0">
        <w:rPr>
          <w:color w:val="212121"/>
          <w:sz w:val="28"/>
          <w:szCs w:val="28"/>
          <w:highlight w:val="white"/>
        </w:rPr>
        <w:t xml:space="preserve"> в режиме реального времени. </w:t>
      </w:r>
      <w:r w:rsidR="00FF3D73">
        <w:rPr>
          <w:color w:val="212121"/>
          <w:sz w:val="28"/>
          <w:szCs w:val="28"/>
          <w:highlight w:val="white"/>
        </w:rPr>
        <w:t>Его обновление происходит</w:t>
      </w:r>
      <w:r w:rsidR="00FF3D73" w:rsidRPr="001C42E0">
        <w:rPr>
          <w:color w:val="212121"/>
          <w:sz w:val="28"/>
          <w:szCs w:val="28"/>
          <w:highlight w:val="white"/>
        </w:rPr>
        <w:t xml:space="preserve"> ежедневно, что значительно упрощает процесс принятия </w:t>
      </w:r>
      <w:r w:rsidR="00FF3D73">
        <w:rPr>
          <w:color w:val="212121"/>
          <w:sz w:val="28"/>
          <w:szCs w:val="28"/>
          <w:highlight w:val="white"/>
        </w:rPr>
        <w:t>в том числе стратегических</w:t>
      </w:r>
      <w:r w:rsidR="00FF3D73" w:rsidRPr="001C42E0">
        <w:rPr>
          <w:color w:val="212121"/>
          <w:sz w:val="28"/>
          <w:szCs w:val="28"/>
          <w:highlight w:val="white"/>
        </w:rPr>
        <w:t xml:space="preserve"> решений и повышает эффективность работы. </w:t>
      </w:r>
      <w:r w:rsidR="007C2921">
        <w:rPr>
          <w:color w:val="212121"/>
          <w:sz w:val="28"/>
          <w:szCs w:val="28"/>
          <w:highlight w:val="white"/>
        </w:rPr>
        <w:t>Воспользоваться</w:t>
      </w:r>
      <w:r w:rsidR="00FF3D73" w:rsidRPr="001C42E0">
        <w:rPr>
          <w:color w:val="212121"/>
          <w:sz w:val="28"/>
          <w:szCs w:val="28"/>
          <w:highlight w:val="white"/>
        </w:rPr>
        <w:t xml:space="preserve"> </w:t>
      </w:r>
      <w:r w:rsidR="007C2921">
        <w:rPr>
          <w:color w:val="212121"/>
          <w:sz w:val="28"/>
          <w:szCs w:val="28"/>
          <w:highlight w:val="white"/>
        </w:rPr>
        <w:t xml:space="preserve">программой </w:t>
      </w:r>
      <w:proofErr w:type="gramStart"/>
      <w:r w:rsidR="007C2921">
        <w:rPr>
          <w:color w:val="212121"/>
          <w:sz w:val="28"/>
          <w:szCs w:val="28"/>
          <w:highlight w:val="white"/>
        </w:rPr>
        <w:t xml:space="preserve">может </w:t>
      </w:r>
      <w:r w:rsidR="00FF3D73" w:rsidRPr="001C42E0">
        <w:rPr>
          <w:color w:val="212121"/>
          <w:sz w:val="28"/>
          <w:szCs w:val="28"/>
          <w:highlight w:val="white"/>
        </w:rPr>
        <w:t xml:space="preserve"> </w:t>
      </w:r>
      <w:r w:rsidR="00FF3D73">
        <w:rPr>
          <w:color w:val="212121"/>
          <w:sz w:val="28"/>
          <w:szCs w:val="28"/>
          <w:highlight w:val="white"/>
        </w:rPr>
        <w:t>любой</w:t>
      </w:r>
      <w:proofErr w:type="gramEnd"/>
      <w:r w:rsidR="00FF3D73">
        <w:rPr>
          <w:color w:val="212121"/>
          <w:sz w:val="28"/>
          <w:szCs w:val="28"/>
          <w:highlight w:val="white"/>
        </w:rPr>
        <w:t xml:space="preserve"> работник компании пока на корпоративн</w:t>
      </w:r>
      <w:r w:rsidR="007C2921">
        <w:rPr>
          <w:color w:val="212121"/>
          <w:sz w:val="28"/>
          <w:szCs w:val="28"/>
          <w:highlight w:val="white"/>
        </w:rPr>
        <w:t>ом</w:t>
      </w:r>
      <w:r w:rsidR="00FF3D73">
        <w:rPr>
          <w:color w:val="212121"/>
          <w:sz w:val="28"/>
          <w:szCs w:val="28"/>
          <w:highlight w:val="white"/>
        </w:rPr>
        <w:t xml:space="preserve"> портативн</w:t>
      </w:r>
      <w:r w:rsidR="007C2921">
        <w:rPr>
          <w:color w:val="212121"/>
          <w:sz w:val="28"/>
          <w:szCs w:val="28"/>
          <w:highlight w:val="white"/>
        </w:rPr>
        <w:t>ом</w:t>
      </w:r>
      <w:r w:rsidR="00FF3D73">
        <w:rPr>
          <w:color w:val="212121"/>
          <w:sz w:val="28"/>
          <w:szCs w:val="28"/>
          <w:highlight w:val="white"/>
        </w:rPr>
        <w:t xml:space="preserve"> носител</w:t>
      </w:r>
      <w:r w:rsidR="007C2921">
        <w:rPr>
          <w:color w:val="212121"/>
          <w:sz w:val="28"/>
          <w:szCs w:val="28"/>
          <w:highlight w:val="white"/>
        </w:rPr>
        <w:t>е</w:t>
      </w:r>
      <w:bookmarkStart w:id="0" w:name="_GoBack"/>
      <w:bookmarkEnd w:id="0"/>
      <w:r w:rsidR="00FF3D73">
        <w:rPr>
          <w:color w:val="212121"/>
          <w:sz w:val="28"/>
          <w:szCs w:val="28"/>
          <w:highlight w:val="white"/>
        </w:rPr>
        <w:t xml:space="preserve"> информации, в ближайшее время будет подготовлена версия для мобильных устройств</w:t>
      </w:r>
      <w:r w:rsidR="00FF3D73" w:rsidRPr="001C42E0">
        <w:rPr>
          <w:color w:val="212121"/>
          <w:sz w:val="28"/>
          <w:szCs w:val="28"/>
          <w:highlight w:val="white"/>
        </w:rPr>
        <w:t>.</w:t>
      </w:r>
      <w:r w:rsidR="00FF3D73" w:rsidRPr="001C42E0">
        <w:rPr>
          <w:color w:val="000000"/>
          <w:sz w:val="28"/>
          <w:szCs w:val="28"/>
        </w:rPr>
        <w:t xml:space="preserve"> </w:t>
      </w:r>
    </w:p>
    <w:p w:rsidR="009F6F0D" w:rsidRDefault="00FF3D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1C42E0">
        <w:rPr>
          <w:color w:val="000000"/>
          <w:sz w:val="28"/>
          <w:szCs w:val="28"/>
        </w:rPr>
        <w:br/>
      </w:r>
      <w:r w:rsidRPr="001C42E0">
        <w:rPr>
          <w:color w:val="212121"/>
          <w:sz w:val="28"/>
          <w:szCs w:val="28"/>
          <w:highlight w:val="white"/>
        </w:rPr>
        <w:t xml:space="preserve">- </w:t>
      </w:r>
      <w:r>
        <w:rPr>
          <w:color w:val="212121"/>
          <w:sz w:val="28"/>
          <w:szCs w:val="28"/>
          <w:highlight w:val="white"/>
        </w:rPr>
        <w:t>Считаю, о</w:t>
      </w:r>
      <w:r w:rsidRPr="001C42E0">
        <w:rPr>
          <w:color w:val="212121"/>
          <w:sz w:val="28"/>
          <w:szCs w:val="28"/>
          <w:highlight w:val="white"/>
        </w:rPr>
        <w:t>перационная система АО «Трансмашхолдинг» (</w:t>
      </w:r>
      <w:r>
        <w:rPr>
          <w:color w:val="212121"/>
          <w:sz w:val="28"/>
          <w:szCs w:val="28"/>
          <w:highlight w:val="white"/>
          <w:lang w:val="en-US"/>
        </w:rPr>
        <w:t>Transmashholding</w:t>
      </w:r>
      <w:r w:rsidRPr="001C42E0">
        <w:rPr>
          <w:color w:val="212121"/>
          <w:sz w:val="28"/>
          <w:szCs w:val="28"/>
          <w:highlight w:val="white"/>
        </w:rPr>
        <w:t xml:space="preserve"> </w:t>
      </w:r>
      <w:r>
        <w:rPr>
          <w:color w:val="212121"/>
          <w:sz w:val="28"/>
          <w:szCs w:val="28"/>
          <w:highlight w:val="white"/>
          <w:lang w:val="en-US"/>
        </w:rPr>
        <w:t>Operation</w:t>
      </w:r>
      <w:r w:rsidRPr="001C42E0">
        <w:rPr>
          <w:color w:val="212121"/>
          <w:sz w:val="28"/>
          <w:szCs w:val="28"/>
          <w:highlight w:val="white"/>
        </w:rPr>
        <w:t xml:space="preserve"> </w:t>
      </w:r>
      <w:r>
        <w:rPr>
          <w:color w:val="212121"/>
          <w:sz w:val="28"/>
          <w:szCs w:val="28"/>
          <w:highlight w:val="white"/>
          <w:lang w:val="en-US"/>
        </w:rPr>
        <w:t>System</w:t>
      </w:r>
      <w:r w:rsidRPr="001C42E0">
        <w:rPr>
          <w:color w:val="212121"/>
          <w:sz w:val="28"/>
          <w:szCs w:val="28"/>
          <w:highlight w:val="white"/>
        </w:rPr>
        <w:t xml:space="preserve">, </w:t>
      </w:r>
      <w:r>
        <w:rPr>
          <w:color w:val="212121"/>
          <w:sz w:val="28"/>
          <w:szCs w:val="28"/>
          <w:highlight w:val="white"/>
          <w:lang w:val="en-US"/>
        </w:rPr>
        <w:t>TOS</w:t>
      </w:r>
      <w:r w:rsidRPr="001C42E0">
        <w:rPr>
          <w:color w:val="212121"/>
          <w:sz w:val="28"/>
          <w:szCs w:val="28"/>
          <w:highlight w:val="white"/>
        </w:rPr>
        <w:t xml:space="preserve">) является основой для будущих улучшений </w:t>
      </w:r>
      <w:r>
        <w:rPr>
          <w:color w:val="212121"/>
          <w:sz w:val="28"/>
          <w:szCs w:val="28"/>
          <w:highlight w:val="white"/>
        </w:rPr>
        <w:t>в АО “Желдорреммаш”</w:t>
      </w:r>
      <w:r w:rsidRPr="001C42E0">
        <w:rPr>
          <w:color w:val="212121"/>
          <w:sz w:val="28"/>
          <w:szCs w:val="28"/>
          <w:highlight w:val="white"/>
        </w:rPr>
        <w:t xml:space="preserve">. </w:t>
      </w:r>
      <w:r>
        <w:rPr>
          <w:color w:val="212121"/>
          <w:sz w:val="28"/>
          <w:szCs w:val="28"/>
          <w:highlight w:val="white"/>
        </w:rPr>
        <w:t>Руководители компании самого разного звена</w:t>
      </w:r>
      <w:r w:rsidRPr="001C42E0">
        <w:rPr>
          <w:color w:val="212121"/>
          <w:sz w:val="28"/>
          <w:szCs w:val="28"/>
          <w:highlight w:val="white"/>
        </w:rPr>
        <w:t xml:space="preserve"> должны понимать принципы организационной </w:t>
      </w:r>
      <w:r w:rsidRPr="001C42E0">
        <w:rPr>
          <w:color w:val="212121"/>
          <w:sz w:val="28"/>
          <w:szCs w:val="28"/>
          <w:highlight w:val="white"/>
        </w:rPr>
        <w:lastRenderedPageBreak/>
        <w:t xml:space="preserve">эффективности и внедрять их в культуру </w:t>
      </w:r>
      <w:r>
        <w:rPr>
          <w:color w:val="212121"/>
          <w:sz w:val="28"/>
          <w:szCs w:val="28"/>
          <w:highlight w:val="white"/>
        </w:rPr>
        <w:t>ЖДРМ</w:t>
      </w:r>
      <w:r w:rsidRPr="001C42E0">
        <w:rPr>
          <w:color w:val="212121"/>
          <w:sz w:val="28"/>
          <w:szCs w:val="28"/>
          <w:highlight w:val="white"/>
        </w:rPr>
        <w:t>. Вовлечение все</w:t>
      </w:r>
      <w:r>
        <w:rPr>
          <w:color w:val="212121"/>
          <w:sz w:val="28"/>
          <w:szCs w:val="28"/>
          <w:highlight w:val="white"/>
        </w:rPr>
        <w:t>го</w:t>
      </w:r>
      <w:r w:rsidRPr="001C42E0">
        <w:rPr>
          <w:color w:val="212121"/>
          <w:sz w:val="28"/>
          <w:szCs w:val="28"/>
          <w:highlight w:val="white"/>
        </w:rPr>
        <w:t xml:space="preserve"> </w:t>
      </w:r>
      <w:r>
        <w:rPr>
          <w:color w:val="212121"/>
          <w:sz w:val="28"/>
          <w:szCs w:val="28"/>
          <w:highlight w:val="white"/>
        </w:rPr>
        <w:t xml:space="preserve">Общества </w:t>
      </w:r>
      <w:r w:rsidRPr="001C42E0">
        <w:rPr>
          <w:color w:val="212121"/>
          <w:sz w:val="28"/>
          <w:szCs w:val="28"/>
          <w:highlight w:val="white"/>
        </w:rPr>
        <w:t>и каждого е</w:t>
      </w:r>
      <w:r>
        <w:rPr>
          <w:color w:val="212121"/>
          <w:sz w:val="28"/>
          <w:szCs w:val="28"/>
          <w:highlight w:val="white"/>
        </w:rPr>
        <w:t>го</w:t>
      </w:r>
      <w:r w:rsidRPr="001C42E0">
        <w:rPr>
          <w:color w:val="212121"/>
          <w:sz w:val="28"/>
          <w:szCs w:val="28"/>
          <w:highlight w:val="white"/>
        </w:rPr>
        <w:t xml:space="preserve"> </w:t>
      </w:r>
      <w:r>
        <w:rPr>
          <w:color w:val="212121"/>
          <w:sz w:val="28"/>
          <w:szCs w:val="28"/>
          <w:highlight w:val="white"/>
        </w:rPr>
        <w:t>сотрудника в процессы жизнедеятельности</w:t>
      </w:r>
      <w:r w:rsidRPr="001C42E0">
        <w:rPr>
          <w:color w:val="212121"/>
          <w:sz w:val="28"/>
          <w:szCs w:val="28"/>
          <w:highlight w:val="white"/>
        </w:rPr>
        <w:t xml:space="preserve"> </w:t>
      </w:r>
      <w:r>
        <w:rPr>
          <w:color w:val="212121"/>
          <w:sz w:val="28"/>
          <w:szCs w:val="28"/>
          <w:highlight w:val="white"/>
        </w:rPr>
        <w:t xml:space="preserve">компании </w:t>
      </w:r>
      <w:r w:rsidRPr="001C42E0">
        <w:rPr>
          <w:color w:val="212121"/>
          <w:sz w:val="28"/>
          <w:szCs w:val="28"/>
          <w:highlight w:val="white"/>
        </w:rPr>
        <w:t xml:space="preserve">является необходимым условием для достижения устойчивых улучшений. </w:t>
      </w:r>
      <w:r>
        <w:rPr>
          <w:bCs/>
          <w:sz w:val="28"/>
          <w:szCs w:val="28"/>
        </w:rPr>
        <w:t xml:space="preserve"> Поэтому мы работаем над различными нововведениями для успешного развития ЖДРМ и готовы к их внедрению как в краткосрочной, так и долгосрочной перспективе, - отметил заместитель генерального директора (по организации производства) АО “Желдорреммаш” Андрей Минин. </w:t>
      </w:r>
    </w:p>
    <w:p w:rsidR="009F6F0D" w:rsidRDefault="009F6F0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bCs/>
          <w:sz w:val="28"/>
          <w:szCs w:val="28"/>
        </w:rPr>
      </w:pPr>
    </w:p>
    <w:p w:rsidR="009F6F0D" w:rsidRDefault="009F6F0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bCs/>
          <w:sz w:val="28"/>
          <w:szCs w:val="28"/>
        </w:rPr>
      </w:pPr>
    </w:p>
    <w:p w:rsidR="009F6F0D" w:rsidRDefault="00FF3D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9F6F0D" w:rsidRDefault="00FF3D73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9F6F0D" w:rsidRDefault="00FF3D73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9F6F0D" w:rsidRDefault="00FF3D73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9F6F0D" w:rsidRDefault="00FF3D73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Имеет 9 производственных площадок по всей территории страны.</w:t>
      </w:r>
    </w:p>
    <w:p w:rsidR="009F6F0D" w:rsidRDefault="009F6F0D"/>
    <w:sectPr w:rsidR="009F6F0D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C0F"/>
    <w:multiLevelType w:val="hybridMultilevel"/>
    <w:tmpl w:val="9342E624"/>
    <w:lvl w:ilvl="0" w:tplc="8FDC608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22A2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B41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F0F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AEB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DCD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A2A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08C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6EE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8E4ECE"/>
    <w:multiLevelType w:val="hybridMultilevel"/>
    <w:tmpl w:val="E476475A"/>
    <w:lvl w:ilvl="0" w:tplc="A1025A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E1C8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EA8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D28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D8C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B8A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3AD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F8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AAA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795F00"/>
    <w:multiLevelType w:val="hybridMultilevel"/>
    <w:tmpl w:val="8A30DACE"/>
    <w:lvl w:ilvl="0" w:tplc="AD76314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9421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269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E6B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AC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04C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FE7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D4E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5AB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F6F0D"/>
    <w:rsid w:val="001C42E0"/>
    <w:rsid w:val="002178D8"/>
    <w:rsid w:val="007C2921"/>
    <w:rsid w:val="009F6F0D"/>
    <w:rsid w:val="00F07DB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5C5"/>
  <w15:docId w15:val="{DDAB7FD4-ECC3-4902-A7A8-30E1D3A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4</cp:revision>
  <dcterms:created xsi:type="dcterms:W3CDTF">2024-06-03T09:29:00Z</dcterms:created>
  <dcterms:modified xsi:type="dcterms:W3CDTF">2024-06-04T11:46:00Z</dcterms:modified>
</cp:coreProperties>
</file>