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BF4D" w14:textId="0FB30C07" w:rsidR="009B03CE" w:rsidRPr="009B03CE" w:rsidRDefault="009B03CE" w:rsidP="009B03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3CE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халяльной и кошерной продукции: итоги 2023 г., прогноз до 2027 г.</w:t>
      </w:r>
    </w:p>
    <w:p w14:paraId="506DB67A" w14:textId="77777777" w:rsidR="009B03CE" w:rsidRPr="009B03CE" w:rsidRDefault="009B03CE" w:rsidP="009B03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0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FE476E" w14:textId="77777777" w:rsidR="009B03CE" w:rsidRPr="009B03CE" w:rsidRDefault="009B03CE" w:rsidP="009B03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3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июне 2024 года исследовательская компания NeoAnalytics завершила проведение маркетингового исследования российского рынка халяльной и кошерной продукции.</w:t>
      </w:r>
    </w:p>
    <w:p w14:paraId="05070A07" w14:textId="77777777" w:rsidR="009B03CE" w:rsidRPr="009B03CE" w:rsidRDefault="009B03CE" w:rsidP="009B03CE">
      <w:pPr>
        <w:rPr>
          <w:rFonts w:ascii="Times New Roman" w:hAnsi="Times New Roman" w:cs="Times New Roman"/>
          <w:sz w:val="24"/>
          <w:szCs w:val="24"/>
        </w:rPr>
      </w:pPr>
    </w:p>
    <w:p w14:paraId="7A185175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E">
        <w:rPr>
          <w:rFonts w:ascii="Times New Roman" w:hAnsi="Times New Roman" w:cs="Times New Roman"/>
          <w:sz w:val="24"/>
          <w:szCs w:val="24"/>
        </w:rPr>
        <w:t>В ходе исследования, проведенного NeoAnalytics на тему «Российский рынок  халяльной и кошерной продукции: итоги 2023 г., прогноз до 2027 г.», выяснилось, что по итогам 2023 г. совокупный объем российского рынка халяльных и кошерных продуктов увеличился на 11,8% по отношению к аналогичному показателю прошлого года и составил более 1200 млрд. руб. В общей структуре объема – это преимущественно халяльная продукция. Доля кошерных продуктов существенно мала.</w:t>
      </w:r>
    </w:p>
    <w:p w14:paraId="11F9E813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8CA0A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E">
        <w:rPr>
          <w:rFonts w:ascii="Times New Roman" w:hAnsi="Times New Roman" w:cs="Times New Roman"/>
          <w:sz w:val="24"/>
          <w:szCs w:val="24"/>
        </w:rPr>
        <w:t xml:space="preserve">Важно отметить, что в 2023 г. динамика объема российского рынка халяльных и кошерных продуктов заметно выделялась на фоне основных макроэкономических показателей. К примеру, среднерыночные темпы прироста составляли на уровне 10,8%, что на 5 </w:t>
      </w:r>
      <w:proofErr w:type="spellStart"/>
      <w:r w:rsidRPr="009B03C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B03CE">
        <w:rPr>
          <w:rFonts w:ascii="Times New Roman" w:hAnsi="Times New Roman" w:cs="Times New Roman"/>
          <w:sz w:val="24"/>
          <w:szCs w:val="24"/>
        </w:rPr>
        <w:t xml:space="preserve"> больше прироста оборота розничной торговли и денежных доходов населения.</w:t>
      </w:r>
    </w:p>
    <w:p w14:paraId="727BB0C1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8D520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E">
        <w:rPr>
          <w:rFonts w:ascii="Times New Roman" w:hAnsi="Times New Roman" w:cs="Times New Roman"/>
          <w:sz w:val="24"/>
          <w:szCs w:val="24"/>
        </w:rPr>
        <w:t>Сегмент религиозных продуктов, в частности, халяльной и кошерной продукции, в последнее время набирает популярность. Популяризация здорового питания в мире заставляет потребителей искать всевозможные концепции питания, пробовать различные диеты, выбирать органические продукты и следовать моде потребления здоровой пищи. Что, в свою очередь, сказывается на динамике потребления, в частности, халяльной и кошерной продукции.</w:t>
      </w:r>
    </w:p>
    <w:p w14:paraId="3554ED97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B7FD7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E">
        <w:rPr>
          <w:rFonts w:ascii="Times New Roman" w:hAnsi="Times New Roman" w:cs="Times New Roman"/>
          <w:sz w:val="24"/>
          <w:szCs w:val="24"/>
        </w:rPr>
        <w:t>На сегодняшний день доля религиозной продукции (халяльной и кошерной продукции) в общем объеме оборота розничной торговли продовольственными товарами в России составляет 5,4%, что в денежном выражении соответствует более 1200 млрд. руб.</w:t>
      </w:r>
    </w:p>
    <w:p w14:paraId="1DD4279C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0509A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E">
        <w:rPr>
          <w:rFonts w:ascii="Times New Roman" w:hAnsi="Times New Roman" w:cs="Times New Roman"/>
          <w:sz w:val="24"/>
          <w:szCs w:val="24"/>
        </w:rPr>
        <w:t>Данный отчет является продуктом интеллектуальной собственностью исследовательской компании NeoAnalytics.</w:t>
      </w:r>
    </w:p>
    <w:p w14:paraId="7A212857" w14:textId="77777777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1A86D" w14:textId="6515904F" w:rsidR="009B03CE" w:rsidRPr="009B03CE" w:rsidRDefault="009B03CE" w:rsidP="009B03CE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E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sectPr w:rsidR="009B03CE" w:rsidRPr="009B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CE"/>
    <w:rsid w:val="00986FF4"/>
    <w:rsid w:val="009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1792"/>
  <w15:chartTrackingRefBased/>
  <w15:docId w15:val="{8314886C-F081-44AB-80F7-0E850E1F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2024-06-25T13:10:00Z</dcterms:created>
  <dcterms:modified xsi:type="dcterms:W3CDTF">2024-06-25T13:12:00Z</dcterms:modified>
</cp:coreProperties>
</file>