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DD91" w14:textId="77777777" w:rsidR="006B68C8" w:rsidRPr="001E3038" w:rsidRDefault="006B68C8" w:rsidP="001E30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038">
        <w:rPr>
          <w:rFonts w:ascii="Times New Roman" w:hAnsi="Times New Roman" w:cs="Times New Roman"/>
          <w:b/>
          <w:bCs/>
          <w:sz w:val="28"/>
          <w:szCs w:val="28"/>
        </w:rPr>
        <w:t xml:space="preserve">Анализ российского рынка собственных торговых марок: итоги 2023 г., прогноз до 2027 г. </w:t>
      </w:r>
    </w:p>
    <w:p w14:paraId="5101FE2F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12A50" w14:textId="77777777" w:rsidR="006B68C8" w:rsidRPr="001E3038" w:rsidRDefault="006B68C8" w:rsidP="001E303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апреле-мае 2024 года исследовательская компания NeoAnalytics завершила проведение маркетингового исследования российского рынка собственных торговых марок.</w:t>
      </w:r>
    </w:p>
    <w:p w14:paraId="7A4125B6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0B17A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собственных торговых марок: итоги 2023 г., прогноз до 2027 г.», выяснилось, что в 2023 г. объем российского рынка СТМ розничных сетей в стоимостном выражении составил более 2800 млрд. руб. Темпы роста рынка в 2023 г. оцениваются в районе 27,3%.</w:t>
      </w:r>
    </w:p>
    <w:p w14:paraId="22B560A0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8A2A8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По итогам 2023 г. доля собственных торговых марок в общей структуре оборота российского FMCG рынка составила около 15%. Для сравнения еще в 2015 г. показатель составлял 6,7%. Таким образом, рост показателя вырос в 2,2 раза.</w:t>
      </w:r>
    </w:p>
    <w:p w14:paraId="3494DA47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6A810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Конъюнктура развития СТМ напрямую коррелирует с долей и объемом продаж крупных торговых сетей в общем объеме розничной торговли. По итогам 2023 г. доля розничных сетей на российском рынке составляла 40,7% в общем обороте розничной торговли.</w:t>
      </w:r>
    </w:p>
    <w:p w14:paraId="41EA5896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5461C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В 2022-2023гг. основным вектором развития СТМ в России стала замена товаров ушедших брендов. При этом компании стараются сохранять заданную планку качества. Таким образом, в условии ухода многих зарубежных производителей, компании позиционируют свои продукты как аналоги ушедших иностранных брендов.</w:t>
      </w:r>
    </w:p>
    <w:p w14:paraId="206F9549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EE7AF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В настоящее время на российском рынке сохраняются все условия для развития СТМ, так как происходит концентрация розничных сетей, растет их авторитет и доверие потребителей к СТМ, увеличивается доля дискаунтеров.  При этом доля СТМ в дискаунтерах составляет не менее 50%, а в жестких дискаунтерах доходит до 90%.</w:t>
      </w:r>
    </w:p>
    <w:p w14:paraId="7DCB206D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7FF8A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6C033A68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48990" w14:textId="77777777" w:rsidR="006B68C8" w:rsidRPr="001E3038" w:rsidRDefault="006B68C8" w:rsidP="001E3038">
      <w:pPr>
        <w:jc w:val="both"/>
        <w:rPr>
          <w:rFonts w:ascii="Times New Roman" w:hAnsi="Times New Roman" w:cs="Times New Roman"/>
          <w:sz w:val="24"/>
          <w:szCs w:val="24"/>
        </w:rPr>
      </w:pPr>
      <w:r w:rsidRPr="001E3038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6B68C8" w:rsidRPr="001E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C8"/>
    <w:rsid w:val="001E3038"/>
    <w:rsid w:val="005E28C3"/>
    <w:rsid w:val="006B68C8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40D"/>
  <w15:chartTrackingRefBased/>
  <w15:docId w15:val="{3DF5AE30-B728-4F00-9FCC-5AA5D90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2024-06-27T12:27:00Z</dcterms:created>
  <dcterms:modified xsi:type="dcterms:W3CDTF">2024-06-27T12:28:00Z</dcterms:modified>
</cp:coreProperties>
</file>