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AAC9" w14:textId="73170F32" w:rsidR="00093D24" w:rsidRPr="00093D24" w:rsidRDefault="00093D24" w:rsidP="00093D24">
      <w:pPr>
        <w:jc w:val="center"/>
        <w:rPr>
          <w:b/>
          <w:bCs/>
          <w:sz w:val="24"/>
          <w:szCs w:val="24"/>
        </w:rPr>
      </w:pPr>
      <w:r w:rsidRPr="00093D24">
        <w:rPr>
          <w:b/>
          <w:bCs/>
          <w:sz w:val="24"/>
          <w:szCs w:val="24"/>
        </w:rPr>
        <w:t>Анализ российского рынка графена: итоги 2023 г., прогноз до 2027 г.</w:t>
      </w:r>
    </w:p>
    <w:p w14:paraId="36108F8D" w14:textId="77777777" w:rsidR="00093D24" w:rsidRDefault="00093D24" w:rsidP="00093D24">
      <w:pPr>
        <w:jc w:val="both"/>
      </w:pPr>
      <w:r>
        <w:t xml:space="preserve"> </w:t>
      </w:r>
    </w:p>
    <w:p w14:paraId="345FE658" w14:textId="77777777" w:rsidR="00093D24" w:rsidRPr="00093D24" w:rsidRDefault="00093D24" w:rsidP="00093D24">
      <w:pPr>
        <w:jc w:val="both"/>
        <w:rPr>
          <w:i/>
          <w:iCs/>
        </w:rPr>
      </w:pPr>
      <w:r w:rsidRPr="00093D24">
        <w:rPr>
          <w:i/>
          <w:iCs/>
        </w:rPr>
        <w:t>В октябре 2024 года исследовательская компания NeoAnalytics завершила проведение маркетингового исследования российского рынка графена.</w:t>
      </w:r>
    </w:p>
    <w:p w14:paraId="5E149ACE" w14:textId="77777777" w:rsidR="00093D24" w:rsidRDefault="00093D24" w:rsidP="00093D24">
      <w:pPr>
        <w:jc w:val="both"/>
      </w:pPr>
    </w:p>
    <w:p w14:paraId="5783ACB2" w14:textId="77777777" w:rsidR="00093D24" w:rsidRDefault="00093D24" w:rsidP="00093D24">
      <w:pPr>
        <w:jc w:val="both"/>
      </w:pPr>
      <w:r>
        <w:t xml:space="preserve">В ходе исследования, проведенного NeoAnalytics на тему </w:t>
      </w:r>
      <w:r w:rsidRPr="00093D24">
        <w:rPr>
          <w:b/>
          <w:bCs/>
        </w:rPr>
        <w:t>«Российский рынок графена: итоги 2023 г., прогноз до 2027 г.»</w:t>
      </w:r>
      <w:r>
        <w:t>, выяснилось, что по состоянию на 2023 г. российский рынок графена еще невелик по сравнению с мировыми лидерами, его объем оценивается в пределах 100–115 млн. руб. Прогнозируется, что к 2030 г. российский рынок графена может вырасти до 1–1,5 млрд. руб. с темпами роста около 30–40%. Но, тем не менее, динамика российского рынка тесно коррелирует с конъюнктурой мирового.</w:t>
      </w:r>
    </w:p>
    <w:p w14:paraId="71851D06" w14:textId="77777777" w:rsidR="00093D24" w:rsidRDefault="00093D24" w:rsidP="00093D24">
      <w:pPr>
        <w:jc w:val="both"/>
      </w:pPr>
    </w:p>
    <w:p w14:paraId="1AB772C2" w14:textId="77777777" w:rsidR="00093D24" w:rsidRDefault="00093D24" w:rsidP="00093D24">
      <w:pPr>
        <w:jc w:val="both"/>
      </w:pPr>
      <w:r>
        <w:t>В натуральном выражении объем российского рынка графена вырос на 182,7% по отношению к аналогичному показателю годом ранее.</w:t>
      </w:r>
    </w:p>
    <w:p w14:paraId="0ABA2E75" w14:textId="77777777" w:rsidR="00093D24" w:rsidRDefault="00093D24" w:rsidP="00093D24">
      <w:pPr>
        <w:jc w:val="both"/>
      </w:pPr>
    </w:p>
    <w:p w14:paraId="2394F7E7" w14:textId="77777777" w:rsidR="00093D24" w:rsidRDefault="00093D24" w:rsidP="00093D24">
      <w:pPr>
        <w:jc w:val="both"/>
      </w:pPr>
      <w:r>
        <w:t>Объем производства графена составляет около 38-40 тонн. Ежегодные темпы роста 15-20%. Стоить отметить, что в России до сих пор нет в больших промышленных размерах производства графена и его оксидной формы. Графен и его модификации большей частью производятся для тестовых испытаний или по инициативе ученых и отдельных производств.</w:t>
      </w:r>
    </w:p>
    <w:p w14:paraId="24F711A4" w14:textId="77777777" w:rsidR="00093D24" w:rsidRDefault="00093D24" w:rsidP="00093D24">
      <w:pPr>
        <w:jc w:val="both"/>
      </w:pPr>
    </w:p>
    <w:p w14:paraId="356C8750" w14:textId="77777777" w:rsidR="00093D24" w:rsidRDefault="00093D24" w:rsidP="00093D24">
      <w:pPr>
        <w:jc w:val="both"/>
      </w:pPr>
      <w:r>
        <w:t>Реализовано несколько успешных пилотных проектов с применением графена в конструкционных материалах, автомобильных маслах, различных покрытиях, для литий-ионных аккумуляторов и др.</w:t>
      </w:r>
    </w:p>
    <w:p w14:paraId="1F8FCD86" w14:textId="77777777" w:rsidR="00093D24" w:rsidRDefault="00093D24" w:rsidP="00093D24">
      <w:pPr>
        <w:jc w:val="both"/>
      </w:pPr>
    </w:p>
    <w:p w14:paraId="6ACC4FC4" w14:textId="77777777" w:rsidR="00093D24" w:rsidRDefault="00093D24" w:rsidP="00093D24">
      <w:pPr>
        <w:jc w:val="both"/>
      </w:pPr>
      <w:r>
        <w:t xml:space="preserve">В 2023 г. объем импорта графена составлял менее кг. в натуральном выражении и 635 долл. в стоимостном выражении. По итогам прошлого года объем в натуральном выражении сократился на 95,6%, стоимостной показатель упал на 72,9%. </w:t>
      </w:r>
    </w:p>
    <w:p w14:paraId="3B1CF3FC" w14:textId="77777777" w:rsidR="00093D24" w:rsidRDefault="00093D24" w:rsidP="00093D24">
      <w:pPr>
        <w:jc w:val="both"/>
      </w:pPr>
    </w:p>
    <w:p w14:paraId="3EFED00B" w14:textId="60C8E608" w:rsidR="00093D24" w:rsidRDefault="00093D24" w:rsidP="00093D24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09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24"/>
    <w:rsid w:val="00093D24"/>
    <w:rsid w:val="002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B2E9"/>
  <w15:chartTrackingRefBased/>
  <w15:docId w15:val="{CC964615-10E3-4402-9CFA-D401D367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2024-11-02T08:46:00Z</dcterms:created>
  <dcterms:modified xsi:type="dcterms:W3CDTF">2024-11-02T08:47:00Z</dcterms:modified>
</cp:coreProperties>
</file>