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»февраля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Россельхозбанк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готов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нарастить льготную поддержку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калининградских аграриев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В 2025 году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Россельхозбанк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 продолжит реализацию государственных финансовых программ, поддерживая аграриев региона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Об этом з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аявила директор Калининградского регионального филиала Инесса Мусина.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Россел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ьхозбанк является уполномоченным участником механизма льготного кредитования аграриев, предоставляя заемные средства по ценовым параметрам в зависимости от ключевой ставки Центрального Банка России и направления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аграриев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Своевременные меры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поддержки помогают аграри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ям  повышать эффективность производства и укреплять продовольственную безопасность региона»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– от</w:t>
      </w:r>
      <w:r>
        <w:rPr>
          <w:rFonts w:ascii="Times New Roman" w:hAnsi="Times New Roman"/>
          <w:sz w:val="24"/>
          <w:szCs w:val="24"/>
          <w:highlight w:val="white"/>
        </w:rPr>
        <w:t xml:space="preserve">метила </w:t>
      </w:r>
      <w:r>
        <w:rPr>
          <w:rFonts w:ascii="Times New Roman" w:hAnsi="Times New Roman"/>
          <w:sz w:val="24"/>
          <w:szCs w:val="24"/>
          <w:highlight w:val="white"/>
        </w:rPr>
        <w:t xml:space="preserve"> Инесса Мусина</w:t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 2024 году Калининградский филиал </w:t>
      </w:r>
      <w:r>
        <w:rPr>
          <w:rFonts w:ascii="Times New Roman" w:hAnsi="Times New Roman"/>
          <w:sz w:val="24"/>
          <w:szCs w:val="24"/>
          <w:highlight w:val="white"/>
        </w:rPr>
        <w:t xml:space="preserve">РСХБ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предоставил  региональному агросектору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 млрд </w:t>
      </w:r>
      <w:r>
        <w:rPr>
          <w:rFonts w:ascii="Times New Roman" w:hAnsi="Times New Roman"/>
          <w:sz w:val="24"/>
          <w:szCs w:val="24"/>
          <w:highlight w:val="white"/>
        </w:rPr>
        <w:t xml:space="preserve"> рублей, 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том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числе льготных кредитов  на проведение сезонных полевых работ-  свыше  16,1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млрд рублей.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Объем выдач кредитов по льготным программам  в прошлом году вырос в 2,6 раза, в основном-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предприятиям следующих отраслей: перерабатывающей, </w:t>
      </w:r>
      <w:r>
        <w:rPr>
          <w:rFonts w:ascii="Times New Roman" w:hAnsi="Times New Roman"/>
          <w:sz w:val="24"/>
          <w:szCs w:val="24"/>
          <w:highlight w:val="white"/>
        </w:rPr>
        <w:t xml:space="preserve">молочной, </w:t>
      </w:r>
      <w:r>
        <w:rPr>
          <w:rFonts w:ascii="Times New Roman" w:hAnsi="Times New Roman"/>
          <w:sz w:val="24"/>
          <w:szCs w:val="24"/>
          <w:highlight w:val="white"/>
        </w:rPr>
        <w:t xml:space="preserve">растениеводства.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Филиал продолжает наращивать системную поддержку отрасли. Только 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4 квартале 2024 года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принято заявок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на льготное  кредитование  сезонных полевых работ  на сумму   более 6,5 млрд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2024 году  при непосредствен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ной поддержке банка  начата реализация 4 инвестиционных проектов. Среди них: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строительство современного животноводческого комплекса на 18 000 дойных голов крупного рогатого ск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ота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и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троительство производственного 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омплекса по изготовлению замороженного картофеля фри и сопутствующих продуктов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в Черняховском районе,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строительства з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авода по переработке сельскохозяйственной  продукции (птицы)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г. Гурьевск.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 xml:space="preserve">В целом за 2024 год РСХБ предоставил агросектору России более 2,05 трлн рублей, увелич</w:t>
      </w:r>
      <w:r>
        <w:rPr>
          <w:rFonts w:ascii="Times New Roman" w:hAnsi="Times New Roman" w:cs="Times New Roman"/>
          <w:sz w:val="24"/>
          <w:highlight w:val="white"/>
        </w:rPr>
        <w:t xml:space="preserve">ив выдачи на 21,5% к аналогичному периоду 2023 года. Каждый третий рубль аграрии получили на льготных условиях – 717,4 млрд рублей, прирост за год – на 27,4%.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 xml:space="preserve">На сезонные работы РСХБ выделил 849,8 млрд рублей (+3,3%), в том числе свыше половины – 432,3 млр</w:t>
      </w:r>
      <w:r>
        <w:rPr>
          <w:rFonts w:ascii="Times New Roman" w:hAnsi="Times New Roman" w:cs="Times New Roman"/>
          <w:sz w:val="24"/>
          <w:highlight w:val="white"/>
        </w:rPr>
        <w:t xml:space="preserve">д рублей – по льготной ставке (+36,1%).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20</cp:revision>
  <dcterms:created xsi:type="dcterms:W3CDTF">2022-12-06T10:03:00Z</dcterms:created>
  <dcterms:modified xsi:type="dcterms:W3CDTF">2025-02-05T11:50:09Z</dcterms:modified>
  <cp:version>1048576</cp:version>
</cp:coreProperties>
</file>