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6359" w:rsidRDefault="00B51ACD">
      <w:pPr>
        <w:jc w:val="both"/>
      </w:pPr>
      <w:r>
        <w:rPr>
          <w:noProof/>
        </w:rPr>
        <mc:AlternateContent>
          <mc:Choice Requires="wpg">
            <w:drawing>
              <wp:inline distT="0" distB="0" distL="0" distR="0">
                <wp:extent cx="1895488" cy="676190"/>
                <wp:effectExtent l="0" t="0" r="0" b="0"/>
                <wp:docPr id="1" name="_x0000_i102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6"/>
                        <a:stretch/>
                      </pic:blipFill>
                      <pic:spPr bwMode="auto">
                        <a:xfrm>
                          <a:off x="0" y="0"/>
                          <a:ext cx="1895488" cy="676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miter/>
                        </a:ln>
                      </pic:spPr>
                    </pic:pic>
                  </a:graphicData>
                </a:graphic>
              </wp:inline>
            </w:drawing>
          </mc:Choice>
          <mc:Fallback xmlns:a="http://schemas.openxmlformats.org/drawingml/2006/main"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width:149.25pt;height:53.24pt;mso-wrap-distance-left:0.00pt;mso-wrap-distance-top:0.00pt;mso-wrap-distance-right:0.00pt;mso-wrap-distance-bottom:0.00pt;" stroked="f">
                <v:path textboxrect="0,0,0,0"/>
                <v:imagedata r:id="rId8" o:title=""/>
              </v:shape>
            </w:pict>
          </mc:Fallback>
        </mc:AlternateContent>
      </w:r>
      <w:r>
        <w:t xml:space="preserve">      </w:t>
      </w:r>
    </w:p>
    <w:p w:rsidR="001B6359" w:rsidRDefault="001B6359">
      <w:pPr>
        <w:ind w:firstLine="851"/>
        <w:jc w:val="both"/>
      </w:pPr>
    </w:p>
    <w:p w:rsidR="001B6359" w:rsidRDefault="001B6359"/>
    <w:p w:rsidR="001B6359" w:rsidRDefault="00B51ACD">
      <w:pPr>
        <w:spacing w:before="240"/>
        <w:ind w:left="180" w:right="191"/>
        <w:jc w:val="center"/>
        <w:outlineLvl w:val="0"/>
        <w:rPr>
          <w:rFonts w:ascii="Arial" w:hAnsi="Arial" w:cs="Arial"/>
          <w:b/>
          <w:color w:val="7F7F7F"/>
          <w:sz w:val="36"/>
        </w:rPr>
      </w:pPr>
      <w:r>
        <w:rPr>
          <w:rFonts w:ascii="Arial" w:hAnsi="Arial" w:cs="Arial"/>
          <w:b/>
          <w:color w:val="7F7F7F"/>
          <w:sz w:val="36"/>
        </w:rPr>
        <w:t>Пресс-релиз</w:t>
      </w:r>
    </w:p>
    <w:p w:rsidR="001B6359" w:rsidRDefault="00B51ACD">
      <w:pPr>
        <w:spacing w:before="240"/>
        <w:ind w:right="-2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26</w:t>
      </w:r>
      <w:r>
        <w:rPr>
          <w:rFonts w:ascii="Arial Narrow" w:hAnsi="Arial Narrow" w:cs="Arial"/>
          <w:b/>
        </w:rPr>
        <w:t xml:space="preserve"> марта 2025 г. </w:t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</w:r>
      <w:r>
        <w:rPr>
          <w:rFonts w:ascii="Arial Narrow" w:hAnsi="Arial Narrow" w:cs="Arial"/>
          <w:b/>
        </w:rPr>
        <w:tab/>
        <w:t>г. Ижевск</w:t>
      </w:r>
    </w:p>
    <w:p w:rsidR="001B6359" w:rsidRDefault="001B6359">
      <w:pPr>
        <w:ind w:firstLine="851"/>
        <w:jc w:val="center"/>
        <w:rPr>
          <w:rFonts w:ascii="Arial Narrow" w:hAnsi="Arial Narrow"/>
          <w:b/>
          <w:sz w:val="28"/>
          <w:szCs w:val="28"/>
        </w:rPr>
      </w:pPr>
    </w:p>
    <w:p w:rsidR="00B51ACD" w:rsidRDefault="00B51ACD" w:rsidP="00B51ACD">
      <w:pPr>
        <w:spacing w:after="120"/>
        <w:jc w:val="center"/>
        <w:rPr>
          <w:rStyle w:val="afc"/>
          <w:rFonts w:ascii="Arial Narrow" w:eastAsia="Arial" w:hAnsi="Arial Narrow" w:cs="Segoe UI"/>
          <w:color w:val="000000"/>
          <w:sz w:val="28"/>
          <w:szCs w:val="28"/>
          <w:shd w:val="clear" w:color="auto" w:fill="FFFFFF"/>
        </w:rPr>
      </w:pPr>
      <w:r w:rsidRPr="00B51ACD">
        <w:rPr>
          <w:rStyle w:val="afc"/>
          <w:rFonts w:ascii="Arial Narrow" w:eastAsia="Arial" w:hAnsi="Arial Narrow" w:cs="Segoe UI"/>
          <w:color w:val="000000"/>
          <w:sz w:val="28"/>
          <w:szCs w:val="28"/>
          <w:shd w:val="clear" w:color="auto" w:fill="FFFFFF"/>
        </w:rPr>
        <w:t xml:space="preserve">«Россети Центр и Приволжье» смонтируют более 12 тысяч умных счетчиков в Удмуртской Республике в 2025 году </w:t>
      </w:r>
    </w:p>
    <w:p w:rsidR="00B51ACD" w:rsidRDefault="00B51ACD" w:rsidP="00B51ACD">
      <w:pPr>
        <w:spacing w:after="120"/>
        <w:ind w:firstLine="708"/>
        <w:jc w:val="both"/>
        <w:rPr>
          <w:rFonts w:ascii="Arial Narrow" w:hAnsi="Arial Narrow" w:cs="Segoe UI"/>
          <w:color w:val="000000"/>
          <w:shd w:val="clear" w:color="auto" w:fill="FFFFFF"/>
        </w:rPr>
      </w:pPr>
      <w:r w:rsidRPr="00B51ACD">
        <w:rPr>
          <w:rFonts w:ascii="Arial Narrow" w:hAnsi="Arial Narrow" w:cs="Segoe UI"/>
          <w:color w:val="000000"/>
          <w:shd w:val="clear" w:color="auto" w:fill="FFFFFF"/>
        </w:rPr>
        <w:t>Филиал ПАО «Россети Центр и Приволжье» – «Удмуртэнерго» продолжает монтаж интеллектуальных приборов учета электроэнергии. В первом квартале этого года установлено уже 1800 умных счётчиков Ижевске и Воткинске, а также в Воткинском, Завьяловском и Граховском районах республики.</w:t>
      </w:r>
    </w:p>
    <w:p w:rsidR="00B51ACD" w:rsidRDefault="00B51ACD" w:rsidP="00B51ACD">
      <w:pPr>
        <w:spacing w:after="120"/>
        <w:jc w:val="both"/>
        <w:rPr>
          <w:rFonts w:ascii="Arial Narrow" w:hAnsi="Arial Narrow" w:cs="Segoe UI"/>
          <w:color w:val="000000"/>
          <w:shd w:val="clear" w:color="auto" w:fill="FFFFFF"/>
        </w:rPr>
      </w:pPr>
      <w:r w:rsidRPr="00B51ACD">
        <w:rPr>
          <w:rFonts w:ascii="Arial Narrow" w:hAnsi="Arial Narrow" w:cs="Segoe UI"/>
          <w:color w:val="000000"/>
          <w:shd w:val="clear" w:color="auto" w:fill="FFFFFF"/>
        </w:rPr>
        <w:t>Программа, стартовавшая в 2020 году, направлена на повышение надежности электроснабжения и улучшение качества обслуживания потреби</w:t>
      </w:r>
      <w:bookmarkStart w:id="0" w:name="_GoBack"/>
      <w:bookmarkEnd w:id="0"/>
      <w:r w:rsidRPr="00B51ACD">
        <w:rPr>
          <w:rFonts w:ascii="Arial Narrow" w:hAnsi="Arial Narrow" w:cs="Segoe UI"/>
          <w:color w:val="000000"/>
          <w:shd w:val="clear" w:color="auto" w:fill="FFFFFF"/>
        </w:rPr>
        <w:t>телей, а также на снижение потерь электроэнергии. За это время в регионе уже смонтировано более 46 тысяч умных счетчиков.</w:t>
      </w:r>
    </w:p>
    <w:p w:rsidR="00B51ACD" w:rsidRDefault="00B51ACD" w:rsidP="00B51ACD">
      <w:pPr>
        <w:spacing w:after="120"/>
        <w:ind w:firstLine="567"/>
        <w:jc w:val="both"/>
        <w:rPr>
          <w:rFonts w:ascii="Arial Narrow" w:hAnsi="Arial Narrow" w:cs="Segoe UI"/>
          <w:color w:val="000000"/>
          <w:shd w:val="clear" w:color="auto" w:fill="FFFFFF"/>
        </w:rPr>
      </w:pPr>
      <w:r w:rsidRPr="00B51ACD">
        <w:rPr>
          <w:rFonts w:ascii="Arial Narrow" w:hAnsi="Arial Narrow" w:cs="Segoe UI"/>
          <w:color w:val="000000"/>
          <w:shd w:val="clear" w:color="auto" w:fill="FFFFFF"/>
        </w:rPr>
        <w:t>Новые приборы учета обладают рядом преимуществ: автоматическая передача показаний, контроль за исправностью сети, оповещение о технологических нарушениях и несанкционированных вмешательствах. Потребители могут отслеживать работу счетчика, график и режим энергопотребления с помощью индивидуального пульта. Благодаря умным счетчикам улучшается платежная дисциплина, снижается количество незаконных подключений к электросетям и повышается точность учета потребляемой электроэнергии.</w:t>
      </w:r>
    </w:p>
    <w:p w:rsidR="00B51ACD" w:rsidRDefault="00B51ACD" w:rsidP="00B51ACD">
      <w:pPr>
        <w:spacing w:after="120"/>
        <w:ind w:firstLine="567"/>
        <w:jc w:val="both"/>
        <w:rPr>
          <w:rFonts w:ascii="Arial Narrow" w:hAnsi="Arial Narrow" w:cs="Segoe UI"/>
          <w:color w:val="000000"/>
          <w:shd w:val="clear" w:color="auto" w:fill="FFFFFF"/>
        </w:rPr>
      </w:pPr>
      <w:r w:rsidRPr="00B51ACD">
        <w:rPr>
          <w:rFonts w:ascii="Arial Narrow" w:hAnsi="Arial Narrow" w:cs="Segoe UI"/>
          <w:color w:val="000000"/>
          <w:shd w:val="clear" w:color="auto" w:fill="FFFFFF"/>
        </w:rPr>
        <w:t>Всего до конца года энергетики установят более 12500 приборов учета более чем 100 населенных пунктах Удмуртии. Сотрудники филиала «Удмуртэнерго» просят обеспечивать энергетикам беспрепятственный доступ к месту установки интеллектуальных приборов учета.</w:t>
      </w:r>
    </w:p>
    <w:p w:rsidR="00B51ACD" w:rsidRPr="00B51ACD" w:rsidRDefault="00B51ACD" w:rsidP="00B51ACD">
      <w:pPr>
        <w:rPr>
          <w:rFonts w:ascii="Arial Narrow" w:hAnsi="Arial Narrow"/>
        </w:rPr>
      </w:pPr>
    </w:p>
    <w:p w:rsidR="001B6359" w:rsidRDefault="00B51ACD">
      <w:pPr>
        <w:ind w:firstLine="709"/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>О</w:t>
      </w:r>
      <w:r>
        <w:rPr>
          <w:rFonts w:ascii="Arial Narrow" w:hAnsi="Arial Narrow" w:cs="Arial"/>
          <w:b/>
          <w:bCs/>
          <w:sz w:val="22"/>
          <w:szCs w:val="22"/>
          <w:u w:val="single"/>
        </w:rPr>
        <w:t>тдел по связям с общественностью</w:t>
      </w:r>
    </w:p>
    <w:p w:rsidR="001B6359" w:rsidRDefault="00B51ACD">
      <w:pPr>
        <w:jc w:val="right"/>
        <w:rPr>
          <w:rFonts w:ascii="Arial Narrow" w:hAnsi="Arial Narrow" w:cs="Arial"/>
          <w:b/>
          <w:bCs/>
          <w:sz w:val="22"/>
          <w:szCs w:val="22"/>
          <w:u w:val="single"/>
        </w:rPr>
      </w:pPr>
      <w:r>
        <w:rPr>
          <w:rFonts w:ascii="Arial Narrow" w:hAnsi="Arial Narrow" w:cs="Arial"/>
          <w:b/>
          <w:bCs/>
          <w:sz w:val="22"/>
          <w:szCs w:val="22"/>
          <w:u w:val="single"/>
        </w:rPr>
        <w:t xml:space="preserve">«Россети Центр и Приволжье Удмуртэнерго» </w:t>
      </w:r>
    </w:p>
    <w:p w:rsidR="001B6359" w:rsidRDefault="00B51ACD"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</w:rPr>
        <w:t xml:space="preserve"> Тел</w:t>
      </w:r>
      <w:r>
        <w:rPr>
          <w:rFonts w:ascii="Arial Narrow" w:hAnsi="Arial Narrow" w:cs="Arial"/>
          <w:b/>
          <w:bCs/>
          <w:sz w:val="22"/>
          <w:szCs w:val="22"/>
          <w:lang w:val="en-US"/>
        </w:rPr>
        <w:t xml:space="preserve">.: (3412) 938-338, </w:t>
      </w:r>
    </w:p>
    <w:p w:rsidR="001B6359" w:rsidRDefault="00B51ACD">
      <w:pPr>
        <w:jc w:val="right"/>
        <w:rPr>
          <w:rFonts w:ascii="Arial Narrow" w:hAnsi="Arial Narrow" w:cs="Arial"/>
          <w:b/>
          <w:bCs/>
          <w:sz w:val="22"/>
          <w:szCs w:val="22"/>
          <w:lang w:val="en-US"/>
        </w:rPr>
      </w:pPr>
      <w:r>
        <w:rPr>
          <w:rFonts w:ascii="Arial Narrow" w:hAnsi="Arial Narrow" w:cs="Arial"/>
          <w:b/>
          <w:bCs/>
          <w:sz w:val="22"/>
          <w:szCs w:val="22"/>
          <w:lang w:val="en-US"/>
        </w:rPr>
        <w:t>e-mail: Krotikov.MA@ud.mrsk-cp.ru</w:t>
      </w:r>
    </w:p>
    <w:p w:rsidR="001B6359" w:rsidRDefault="00B51ACD">
      <w:pPr>
        <w:jc w:val="right"/>
        <w:rPr>
          <w:rFonts w:ascii="Arial Narrow" w:hAnsi="Arial Narrow" w:cs="Arial"/>
          <w:b/>
          <w:bCs/>
          <w:sz w:val="20"/>
          <w:szCs w:val="20"/>
        </w:rPr>
      </w:pPr>
      <w:r>
        <w:rPr>
          <w:rFonts w:ascii="Arial Narrow" w:hAnsi="Arial Narrow" w:cs="Arial"/>
          <w:b/>
          <w:bCs/>
          <w:sz w:val="20"/>
          <w:szCs w:val="20"/>
        </w:rPr>
        <w:t>___________________________________________________________________________________________________________</w:t>
      </w:r>
    </w:p>
    <w:p w:rsidR="001B6359" w:rsidRDefault="00B51ACD">
      <w:pPr>
        <w:spacing w:before="100" w:beforeAutospacing="1" w:after="100" w:afterAutospacing="1" w:line="256" w:lineRule="auto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b/>
          <w:bCs/>
          <w:i/>
          <w:iCs/>
          <w:sz w:val="20"/>
          <w:szCs w:val="20"/>
          <w:lang w:eastAsia="en-US"/>
        </w:rPr>
        <w:t xml:space="preserve">«Россети Центр и Приволжье»* – бренд ПАО «Россети Центр и Приволжье» (находится под управлением «Россети Центр» - бренд ПАО «Россети Центр») 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>– дочер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нее общество крупнейшей в Российской Федерации энергокомпании ПАО «Россети». «Россети Центр и Приволжье» является основным поставщиком услуг по передаче электроэнергии и технологическому присоединению к электросетям в девяти регионах РФ. </w:t>
      </w:r>
    </w:p>
    <w:p w:rsidR="001B6359" w:rsidRDefault="00B51ACD">
      <w:pPr>
        <w:spacing w:after="160" w:line="256" w:lineRule="auto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>Под управлением к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>омпании находится 285 тыс. км воздушных и кабельных линий электропередачи, свыше 1,5 тыс. подстанций 35-220 кВ, 67 тыс. трансформаторных подстанций 6-35/0,4 кВ и распределительных пунктов 6-10 кВ. Общая мощность этих энергообъектов превышает 44,6 тыс. МВА.</w:t>
      </w: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 xml:space="preserve"> </w:t>
      </w:r>
    </w:p>
    <w:p w:rsidR="001B6359" w:rsidRDefault="00B51ACD">
      <w:pPr>
        <w:shd w:val="clear" w:color="auto" w:fill="FFFFFF"/>
        <w:spacing w:before="120" w:after="120" w:line="256" w:lineRule="auto"/>
        <w:ind w:right="57"/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lang w:eastAsia="en-US"/>
        </w:rPr>
        <w:t>С 11 сентября 2017 года полномочия единоличного исполнительного органа «Россети Центр и Приволжье» переданы «Россети Центр».</w:t>
      </w:r>
    </w:p>
    <w:p w:rsidR="001B6359" w:rsidRDefault="00B51ACD">
      <w:pPr>
        <w:spacing w:after="240" w:line="256" w:lineRule="auto"/>
        <w:jc w:val="both"/>
        <w:rPr>
          <w:rFonts w:ascii="Arial Narrow" w:eastAsia="Calibri" w:hAnsi="Arial Narrow"/>
          <w:sz w:val="20"/>
          <w:szCs w:val="20"/>
          <w:lang w:eastAsia="en-US"/>
        </w:rPr>
      </w:pP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>* С июня 2019 года все компании магистрального и распределительного электросетевого комплекса в корпоративных и маркетинговых ком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>муникациях, а также на всех носителях фирменного стиля используют новое название, содержащее торговый знак «Россети» и региональную или функциональную привязку.</w:t>
      </w:r>
      <w:r>
        <w:rPr>
          <w:rFonts w:ascii="Arial Narrow" w:eastAsia="Calibri" w:hAnsi="Arial Narrow"/>
          <w:sz w:val="20"/>
          <w:szCs w:val="20"/>
          <w:lang w:eastAsia="en-US"/>
        </w:rPr>
        <w:t xml:space="preserve"> </w:t>
      </w:r>
    </w:p>
    <w:p w:rsidR="001B6359" w:rsidRDefault="00B51ACD">
      <w:pPr>
        <w:spacing w:before="160" w:after="160" w:line="256" w:lineRule="auto"/>
        <w:jc w:val="both"/>
        <w:rPr>
          <w:rFonts w:ascii="Calibri" w:eastAsia="Calibri" w:hAnsi="Calibri"/>
          <w:i/>
          <w:iCs/>
          <w:sz w:val="20"/>
          <w:szCs w:val="20"/>
        </w:rPr>
      </w:pPr>
      <w:r>
        <w:rPr>
          <w:rFonts w:ascii="Arial Narrow" w:eastAsia="Calibri" w:hAnsi="Arial Narrow"/>
          <w:b/>
          <w:bCs/>
          <w:i/>
          <w:iCs/>
          <w:sz w:val="20"/>
          <w:szCs w:val="20"/>
          <w:shd w:val="clear" w:color="auto" w:fill="FFFFFF"/>
          <w:lang w:eastAsia="en-US"/>
        </w:rPr>
        <w:lastRenderedPageBreak/>
        <w:t>Компания ПАО «Россети»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 xml:space="preserve"> является оператором одного из крупнейших электросетевых комплексов в ми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>ре. Управляет 2,35 млн км линий электропередачи, 507 тыс. подстанций трансформаторной мощностью более 792 ГВА. В 2019 году полезный отпуск электроэнергии потребителям составил 763 млрд кВт·ч. Численность персонала группы компаний «Россети» - 220 тыс. челов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 xml:space="preserve">ек. Имущественный комплекс ПАО «Россети» включает 35 дочерних и зависимых обществ, в том числе 15 межрегиональных, и магистральную сетевую компанию. Контролирующим акционером является государство в лице Федерального агентства по управлению государственным </w:t>
      </w:r>
      <w:r>
        <w:rPr>
          <w:rFonts w:ascii="Arial Narrow" w:eastAsia="Calibri" w:hAnsi="Arial Narrow"/>
          <w:i/>
          <w:iCs/>
          <w:sz w:val="20"/>
          <w:szCs w:val="20"/>
          <w:shd w:val="clear" w:color="auto" w:fill="FFFFFF"/>
          <w:lang w:eastAsia="en-US"/>
        </w:rPr>
        <w:t>имуществом РФ, владеющее 88,04 % долей в уставном капитале.</w:t>
      </w:r>
    </w:p>
    <w:p w:rsidR="001B6359" w:rsidRDefault="001B6359">
      <w:pPr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</w:p>
    <w:p w:rsidR="00B51ACD" w:rsidRDefault="00B51ACD">
      <w:pPr>
        <w:jc w:val="both"/>
        <w:rPr>
          <w:rFonts w:ascii="Arial Narrow" w:eastAsia="Calibri" w:hAnsi="Arial Narrow"/>
          <w:i/>
          <w:iCs/>
          <w:sz w:val="20"/>
          <w:szCs w:val="20"/>
          <w:lang w:eastAsia="en-US"/>
        </w:rPr>
      </w:pPr>
    </w:p>
    <w:sectPr w:rsidR="00B51AC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6359" w:rsidRDefault="00B51ACD">
      <w:r>
        <w:separator/>
      </w:r>
    </w:p>
  </w:endnote>
  <w:endnote w:type="continuationSeparator" w:id="0">
    <w:p w:rsidR="001B6359" w:rsidRDefault="00B51A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6359" w:rsidRDefault="00B51ACD">
      <w:r>
        <w:separator/>
      </w:r>
    </w:p>
  </w:footnote>
  <w:footnote w:type="continuationSeparator" w:id="0">
    <w:p w:rsidR="001B6359" w:rsidRDefault="00B51A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359"/>
    <w:rsid w:val="001B6359"/>
    <w:rsid w:val="00B51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E2B9FFA-CD4D-47B8-B6DF-225EF2E7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CaptionChar">
    <w:name w:val="Caption Char"/>
    <w:uiPriority w:val="99"/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</w:style>
  <w:style w:type="paragraph" w:styleId="afa">
    <w:name w:val="Balloon Text"/>
    <w:basedOn w:val="a"/>
    <w:link w:val="afb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link w:val="afa"/>
    <w:uiPriority w:val="99"/>
    <w:semiHidden/>
    <w:rPr>
      <w:rFonts w:ascii="Segoe UI" w:eastAsia="Times New Roman" w:hAnsi="Segoe UI" w:cs="Segoe UI"/>
      <w:sz w:val="18"/>
      <w:szCs w:val="18"/>
      <w:lang w:eastAsia="ru-RU"/>
    </w:rPr>
  </w:style>
  <w:style w:type="character" w:styleId="afc">
    <w:name w:val="Strong"/>
    <w:uiPriority w:val="22"/>
    <w:qFormat/>
    <w:rPr>
      <w:b/>
      <w:bCs/>
    </w:rPr>
  </w:style>
  <w:style w:type="character" w:styleId="afd">
    <w:name w:val="Emphasis"/>
    <w:uiPriority w:val="20"/>
    <w:qFormat/>
    <w:rPr>
      <w:i/>
      <w:iCs/>
    </w:rPr>
  </w:style>
  <w:style w:type="paragraph" w:customStyle="1" w:styleId="13">
    <w:name w:val="Обычный (веб)1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59" w:lineRule="auto"/>
    </w:pPr>
    <w:rPr>
      <w:rFonts w:ascii="Times New Roman" w:eastAsia="Times New Roman" w:hAnsi="Times New Roman"/>
      <w:color w:val="000000"/>
      <w:sz w:val="22"/>
      <w:szCs w:val="22"/>
      <w:lang w:eastAsia="ru-RU"/>
    </w:rPr>
  </w:style>
  <w:style w:type="paragraph" w:customStyle="1" w:styleId="25">
    <w:name w:val="Обычный (веб)2"/>
    <w:uiPriority w:val="99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before="100" w:beforeAutospacing="1" w:after="100" w:afterAutospacing="1" w:line="259" w:lineRule="auto"/>
    </w:pPr>
    <w:rPr>
      <w:rFonts w:ascii="Times New Roman" w:eastAsia="Times New Roman" w:hAnsi="Times New Roman"/>
      <w:color w:val="000000"/>
      <w:sz w:val="22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510</Words>
  <Characters>2909</Characters>
  <Application>Microsoft Office Word</Application>
  <DocSecurity>0</DocSecurity>
  <Lines>24</Lines>
  <Paragraphs>6</Paragraphs>
  <ScaleCrop>false</ScaleCrop>
  <Company/>
  <LinksUpToDate>false</LinksUpToDate>
  <CharactersWithSpaces>3413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Богатырева Анастасия Романовна</dc:creator>
  <cp:lastModifiedBy>Герасимова Наталья Владимировна</cp:lastModifiedBy>
  <cp:revision>4</cp:revision>
  <dcterms:created xsi:type="dcterms:W3CDTF">2025-03-20T10:43:00Z</dcterms:created>
  <dcterms:modified xsi:type="dcterms:W3CDTF">2025-03-25T09:07:00Z</dcterms:modified>
  <cp:version>983040</cp:version>
</cp:coreProperties>
</file>