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14 мая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8"/>
        <w:jc w:val="left"/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88"/>
        <w:jc w:val="center"/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</w:rPr>
        <w:t xml:space="preserve">Орловчане внесли на счета Россельхозбанка втрое больше, чем заняли</w:t>
      </w: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4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865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Депозитный портфель Орловского филиала РСХБ на 15 мая превысил 38 млрд рублей, совокупный кредитный портфель сейчас в три раза меньше и составляет 14 млрд рублей.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 начала года пассивный портфель вырос на 19%.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Результат соответствует текущей рыночной ситуации – привлекательные ставки по сберегательным банковским продуктам держатся уже много месяцев. Розничные клиенты отдают предпочтение вкладам – их доля в общей структуре портфеля составляет 87%. Интересно, что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премиум-сегменте доля накопительных и текущих счетов составляет уже 30%, а на вклады приходится 70%»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– сообщила заместитель директора Орловского филиала РСХБ Инна Лыкова.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начале мая Россельхозбанк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проанализировал сберегательное поведение россиян</w:t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Большая часть опрошенных – 42% признались, что делают сбережения с целью формирования фин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ансовой подушки. Почти каждый пятый житель страны (18%) откладывает деньги на путешествия. О долгосрочной перспективе – формировании пассивного дохода – думают 14% опрошенных и делают сбережения с этой целью. Желание улучшить свои жилищные условия также в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дохновляет на накопления: равное количество опрошенных (по 13%) копят на покупку недвижимости или ремонт.</w:t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right" w:pos="9329" w:leader="none"/>
        <w:tab w:val="clear" w:pos="9355" w:leader="none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 xml:space="preserve">Акционерное общество</w:t>
    </w:r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 xml:space="preserve">(АО «Россельхозбанк»)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  <w:b/>
        <w:bCs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bCs/>
      </w:rPr>
      <w:t xml:space="preserve">Орловский региональный филиал</w:t>
    </w:r>
    <w:r>
      <w:rPr>
        <w:rFonts w:ascii="Times New Roman" w:hAnsi="Times New Roman" w:eastAsia="Times New Roman" w:cs="Times New Roman"/>
        <w:b/>
        <w:bCs/>
      </w:rPr>
      <w:br/>
      <w:t xml:space="preserve">Служба общественных связей</w:t>
    </w:r>
    <w:r>
      <w:rPr>
        <w:rFonts w:ascii="Times New Roman" w:hAnsi="Times New Roman" w:cs="Times New Roman"/>
        <w:b/>
        <w:bCs/>
      </w:rPr>
    </w:r>
    <w:r>
      <w:rPr>
        <w:rFonts w:ascii="Times New Roman" w:hAnsi="Times New Roman" w:cs="Times New Roman"/>
        <w:b/>
        <w:bCs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character" w:styleId="864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65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2025-05-14T14:28:29Z</dcterms:modified>
</cp:coreProperties>
</file>