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Акционерное общество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pStyle w:val="832"/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Style w:val="832"/>
        <w:jc w:val="center"/>
        <w:spacing w:after="12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(АО «Россельхозбанк»)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pStyle w:val="832"/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Пресс-служба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Калининградского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регионального филиала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Ул. Гостиная, дом 3, Калининград, 236022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Телефон: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(4012) 556-261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2"/>
        <w:ind w:left="-851" w:firstLine="426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0"/>
          <w:szCs w:val="20"/>
          <w:lang w:val="en-US" w:eastAsia="ru-RU"/>
        </w:rPr>
      </w:pP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Е</w:t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-mail:</w:t>
      </w:r>
      <w:r>
        <w:rPr>
          <w:rFonts w:eastAsia="Times New Roman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TrubnikovaIA</w:t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  <w:lang w:val="en-US"/>
        </w:rPr>
        <w:instrText xml:space="preserve">HYPERLINK "../../../../../../../Trubnikova-ia/Users/Matveeva-IN/Matveeva-IN/AppData/Local/Temp/notesC1CBFB/ShapovalovaAG@klngd.rshb.ru"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Style w:val="839"/>
          <w:rFonts w:ascii="Times New Roman" w:hAnsi="Times New Roman"/>
          <w:sz w:val="20"/>
          <w:szCs w:val="20"/>
          <w:lang w:val="en-US"/>
        </w:rPr>
        <w:t xml:space="preserve">@klngd.rshb.ru</w:t>
      </w:r>
      <w:r>
        <w:rPr>
          <w:rStyle w:val="839"/>
          <w:rFonts w:ascii="Times New Roman" w:hAnsi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28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Пресс-релиз </w: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гротур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выходного дня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- прекрасная возможностью совместить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приятное с полезным</w: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Калининградская область, известная своим уникальным балтийским колоритом и богатой историей, в последние годы активно развивает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агротуризм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Благодаря поддержке региональных властей и энтузиазму местных фермеров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этот вид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отдыха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становится вс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ё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более популярным среди туристов, желающих отдохнуть от городской суеты, насладиться красотой природы и вкусом настоящей сельской жизни.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Рассказывает Наталья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Крынкова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амбассадор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Россельхозбанка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(РСХБ)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-Наша компания «</w:t>
      </w:r>
      <w:r>
        <w:rPr>
          <w:rFonts w:ascii="Times New Roman" w:hAnsi="Times New Roman" w:cs="Times New Roman"/>
          <w:bCs/>
          <w:sz w:val="24"/>
          <w:szCs w:val="24"/>
        </w:rPr>
        <w:t xml:space="preserve">Виштынецкие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дары» занимается производством, переработкой и реализацией продукции пчеловодства с собственных пасек, расположенных в экологически чистом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Нестеровском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районе Калининградской области. Свою деятельность мы с супругом начали десять лет назад, решив продолжить семейное дело. Несмотря на то, что нас давно знают как медовиков, в 2023 году мы решили расширить область  наших интересов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н</w:t>
      </w:r>
      <w:r>
        <w:rPr>
          <w:rFonts w:ascii="Times New Roman" w:hAnsi="Times New Roman" w:cs="Times New Roman"/>
          <w:bCs/>
          <w:sz w:val="24"/>
          <w:szCs w:val="24"/>
        </w:rPr>
        <w:t xml:space="preserve">ачали заниматься промышленным рыболовством на озере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Виштынецкое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. На сегодняшний день к переработке мёда у нас добавил</w:t>
      </w:r>
      <w:r>
        <w:rPr>
          <w:rFonts w:ascii="Times New Roman" w:hAnsi="Times New Roman" w:cs="Times New Roman"/>
          <w:bCs/>
          <w:sz w:val="24"/>
          <w:szCs w:val="24"/>
        </w:rPr>
        <w:t xml:space="preserve">и</w:t>
      </w:r>
      <w:r>
        <w:rPr>
          <w:rFonts w:ascii="Times New Roman" w:hAnsi="Times New Roman" w:cs="Times New Roman"/>
          <w:bCs/>
          <w:sz w:val="24"/>
          <w:szCs w:val="24"/>
        </w:rPr>
        <w:t xml:space="preserve">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переработка рыбной продукции. Работаем под девизом «сами ловим – сами коптим». Медовую и рыбную продукции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поставляем в ведущие рестораны и туристические точки города Калининграда и Калининградской области, стараемся не пропускать мини-ярмарки РСХБ  «Вкусная пятница».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Благодаря </w:t>
      </w:r>
      <w:r>
        <w:rPr>
          <w:rFonts w:ascii="Times New Roman" w:hAnsi="Times New Roman" w:cs="Times New Roman"/>
          <w:sz w:val="24"/>
          <w:szCs w:val="24"/>
        </w:rPr>
        <w:t xml:space="preserve">маркетплейсу</w:t>
      </w:r>
      <w:r>
        <w:rPr>
          <w:rFonts w:ascii="Times New Roman" w:hAnsi="Times New Roman" w:cs="Times New Roman"/>
          <w:sz w:val="24"/>
          <w:szCs w:val="24"/>
        </w:rPr>
        <w:t xml:space="preserve"> РСХБ Своё Родное торговую марку «</w:t>
      </w:r>
      <w:r>
        <w:rPr>
          <w:rFonts w:ascii="Times New Roman" w:hAnsi="Times New Roman" w:cs="Times New Roman"/>
          <w:sz w:val="24"/>
          <w:szCs w:val="24"/>
        </w:rPr>
        <w:t xml:space="preserve">Виштынецкие</w:t>
      </w:r>
      <w:r>
        <w:rPr>
          <w:rFonts w:ascii="Times New Roman" w:hAnsi="Times New Roman" w:cs="Times New Roman"/>
          <w:sz w:val="24"/>
          <w:szCs w:val="24"/>
        </w:rPr>
        <w:t xml:space="preserve"> дары»</w:t>
      </w:r>
      <w:r>
        <w:rPr>
          <w:rFonts w:ascii="Times New Roman" w:hAnsi="Times New Roman" w:cs="Times New Roman"/>
          <w:sz w:val="24"/>
          <w:szCs w:val="24"/>
        </w:rPr>
        <w:t xml:space="preserve">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знают и </w:t>
      </w:r>
      <w:r>
        <w:rPr>
          <w:rFonts w:ascii="Times New Roman" w:hAnsi="Times New Roman" w:cs="Times New Roman"/>
          <w:sz w:val="24"/>
          <w:szCs w:val="24"/>
        </w:rPr>
        <w:t xml:space="preserve">в других регионах страны. 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Представляя свою продукцию на различных выставках, дегустациях, все чаше слышим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вопросы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«а как вас найти, как посмотреть, как это производится,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попасть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пасеку, на рыбалку, нам это очень интересно».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 не раз мы с супругом обсуждали идею развития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агротуризма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Тем более, что для желающих освоить тонкости индустрии гостеприимства у РСХБ запущен бесплатный практикум на базе платформы Сво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ё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Родное.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Любой фермер может зарегистрироваться на платформе банка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Своё Родное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и рассказать, какие туристические услуги он предлагает.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 помощью экспертизы и удобных цифровых сервисов РСХБ можно начать агробизнес или вывести свое фермерское хозяйство на новый уровень за предельно короткий срок.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Очень важно, чтобы фермеры могли предлагать услуги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агротуризма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, а туристы могли их видеть.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Думаем над тем, что для жителей областного центра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агротур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выходного дня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- прекрасная возможностью совместить приятное с полезным: отдохнуть на свежем воздухе, попробовать натуральные и вкусные фермерские продукты, узнать историю области.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Отдых семьей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или близкой компанией в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живописном, тихом уголке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Виштынецкой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возвышенности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подарит массу впечатлений. Чистый воздух, изолированность от города, природа создают прекрасную атмосферу для общения.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 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аши локальные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продукты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сделают этот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отдых незабываемым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Агротуристический</w:t>
      </w:r>
      <w:r>
        <w:rPr>
          <w:rFonts w:ascii="Times New Roman" w:hAnsi="Times New Roman" w:cs="Times New Roman"/>
          <w:sz w:val="24"/>
          <w:szCs w:val="24"/>
        </w:rPr>
        <w:t xml:space="preserve"> бизнес – дело непростое, в котором без над</w:t>
      </w:r>
      <w:r>
        <w:rPr>
          <w:rFonts w:ascii="Times New Roman" w:hAnsi="Times New Roman" w:cs="Times New Roman"/>
          <w:sz w:val="24"/>
          <w:szCs w:val="24"/>
        </w:rPr>
        <w:t xml:space="preserve">ё</w:t>
      </w:r>
      <w:r>
        <w:rPr>
          <w:rFonts w:ascii="Times New Roman" w:hAnsi="Times New Roman" w:cs="Times New Roman"/>
          <w:sz w:val="24"/>
          <w:szCs w:val="24"/>
        </w:rPr>
        <w:t xml:space="preserve">жного партн</w:t>
      </w:r>
      <w:r>
        <w:rPr>
          <w:rFonts w:ascii="Times New Roman" w:hAnsi="Times New Roman" w:cs="Times New Roman"/>
          <w:sz w:val="24"/>
          <w:szCs w:val="24"/>
        </w:rPr>
        <w:t xml:space="preserve">ё</w:t>
      </w:r>
      <w:r>
        <w:rPr>
          <w:rFonts w:ascii="Times New Roman" w:hAnsi="Times New Roman" w:cs="Times New Roman"/>
          <w:sz w:val="24"/>
          <w:szCs w:val="24"/>
        </w:rPr>
        <w:t xml:space="preserve">ра не обойтись. Таким партн</w:t>
      </w:r>
      <w:r>
        <w:rPr>
          <w:rFonts w:ascii="Times New Roman" w:hAnsi="Times New Roman" w:cs="Times New Roman"/>
          <w:sz w:val="24"/>
          <w:szCs w:val="24"/>
        </w:rPr>
        <w:t xml:space="preserve">ё</w:t>
      </w:r>
      <w:r>
        <w:rPr>
          <w:rFonts w:ascii="Times New Roman" w:hAnsi="Times New Roman" w:cs="Times New Roman"/>
          <w:sz w:val="24"/>
          <w:szCs w:val="24"/>
        </w:rPr>
        <w:t xml:space="preserve">ром для</w:t>
      </w:r>
      <w:r>
        <w:rPr>
          <w:rFonts w:ascii="Times New Roman" w:hAnsi="Times New Roman" w:cs="Times New Roman"/>
          <w:sz w:val="24"/>
          <w:szCs w:val="24"/>
        </w:rPr>
        <w:t xml:space="preserve"> нашей</w:t>
      </w:r>
      <w:r>
        <w:rPr>
          <w:rFonts w:ascii="Times New Roman" w:hAnsi="Times New Roman" w:cs="Times New Roman"/>
          <w:sz w:val="24"/>
          <w:szCs w:val="24"/>
        </w:rPr>
        <w:t xml:space="preserve"> компании может стать РСХБ.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white"/>
        </w:rPr>
      </w:r>
    </w:p>
    <w:p>
      <w:pPr>
        <w:pStyle w:val="832"/>
        <w:jc w:val="both"/>
        <w:spacing w:line="312" w:lineRule="atLeast"/>
        <w:rPr>
          <w:rFonts w:ascii="Times New Roman" w:hAnsi="Times New Roman" w:eastAsia="Times New Roman"/>
          <w:i/>
          <w:sz w:val="18"/>
          <w:szCs w:val="18"/>
          <w:lang w:eastAsia="ru-RU"/>
        </w:rPr>
      </w:pPr>
      <w:r>
        <w:rPr>
          <w:color w:val="000000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АО «Россельхозбанк» – основа национальной кредитно-финансовой системы обслуживания агропромышленно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</w:t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  <w:t xml:space="preserve">Генеральная лицензия Банка России</w:t>
      </w:r>
      <w:r>
        <w:rPr>
          <w:rFonts w:ascii="Times New Roman" w:hAnsi="Times New Roman" w:eastAsia="Times New Roman"/>
          <w:i/>
          <w:color w:val="4f6228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  <w:t xml:space="preserve">№ 3349</w:t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</w:p>
    <w:p>
      <w:pPr>
        <w:pStyle w:val="832"/>
        <w:jc w:val="both"/>
        <w:spacing w:line="312" w:lineRule="atLeast"/>
        <w:rPr>
          <w:rFonts w:ascii="Times New Roman" w:hAnsi="Times New Roman" w:eastAsia="Times New Roman"/>
          <w:i/>
          <w:sz w:val="18"/>
          <w:szCs w:val="18"/>
          <w:lang w:eastAsia="ru-RU"/>
        </w:rPr>
      </w:pP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33">
    <w:name w:val="Заголовок 3"/>
    <w:basedOn w:val="834"/>
    <w:next w:val="832"/>
    <w:link w:val="847"/>
    <w:qFormat/>
    <w:pPr>
      <w:jc w:val="both"/>
      <w:keepNext w:val="0"/>
      <w:spacing w:before="100" w:beforeAutospacing="1" w:after="100" w:afterAutospacing="1" w:line="240" w:lineRule="auto"/>
      <w:outlineLvl w:val="2"/>
    </w:pPr>
    <w:rPr>
      <w:rFonts w:ascii="Arial" w:hAnsi="Arial" w:eastAsia="Times New Roman" w:cs="Times New Roman"/>
      <w:b w:val="0"/>
      <w:bCs w:val="0"/>
      <w:sz w:val="20"/>
      <w:szCs w:val="26"/>
      <w:lang w:eastAsia="ru-RU"/>
    </w:rPr>
  </w:style>
  <w:style w:type="paragraph" w:styleId="834">
    <w:name w:val="Заголовок 4"/>
    <w:basedOn w:val="832"/>
    <w:next w:val="832"/>
    <w:link w:val="848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835">
    <w:name w:val="Заголовок 5"/>
    <w:basedOn w:val="832"/>
    <w:next w:val="832"/>
    <w:link w:val="853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836">
    <w:name w:val="Основной шрифт абзаца"/>
    <w:next w:val="836"/>
    <w:link w:val="832"/>
    <w:uiPriority w:val="1"/>
    <w:unhideWhenUsed/>
  </w:style>
  <w:style w:type="table" w:styleId="837">
    <w:name w:val="Обычная таблица"/>
    <w:next w:val="837"/>
    <w:link w:val="832"/>
    <w:uiPriority w:val="99"/>
    <w:semiHidden/>
    <w:unhideWhenUsed/>
    <w:tblPr/>
  </w:style>
  <w:style w:type="numbering" w:styleId="838">
    <w:name w:val="Нет списка"/>
    <w:next w:val="838"/>
    <w:link w:val="832"/>
    <w:uiPriority w:val="99"/>
    <w:semiHidden/>
    <w:unhideWhenUsed/>
  </w:style>
  <w:style w:type="character" w:styleId="839">
    <w:name w:val="Гиперссылка"/>
    <w:next w:val="839"/>
    <w:link w:val="832"/>
    <w:uiPriority w:val="99"/>
    <w:unhideWhenUsed/>
    <w:rPr>
      <w:color w:val="0000ff"/>
      <w:u w:val="single"/>
    </w:rPr>
  </w:style>
  <w:style w:type="character" w:styleId="840">
    <w:name w:val="extended-text__full"/>
    <w:next w:val="840"/>
    <w:link w:val="832"/>
  </w:style>
  <w:style w:type="paragraph" w:styleId="841">
    <w:name w:val="Заголовок"/>
    <w:basedOn w:val="832"/>
    <w:next w:val="832"/>
    <w:link w:val="842"/>
    <w:pPr>
      <w:keepLines/>
      <w:keepNext/>
      <w:spacing w:after="60"/>
    </w:pPr>
    <w:rPr>
      <w:rFonts w:ascii="Arial" w:hAnsi="Arial" w:eastAsia="Arial" w:cs="Arial"/>
      <w:sz w:val="52"/>
      <w:szCs w:val="52"/>
      <w:lang w:val="ru" w:eastAsia="ru-RU"/>
    </w:rPr>
  </w:style>
  <w:style w:type="character" w:styleId="842">
    <w:name w:val="Заголовок Знак"/>
    <w:next w:val="842"/>
    <w:link w:val="841"/>
    <w:rPr>
      <w:rFonts w:ascii="Arial" w:hAnsi="Arial" w:eastAsia="Arial" w:cs="Arial"/>
      <w:sz w:val="52"/>
      <w:szCs w:val="52"/>
      <w:lang w:val="ru"/>
    </w:rPr>
  </w:style>
  <w:style w:type="paragraph" w:styleId="843">
    <w:name w:val="Подзаголовок"/>
    <w:basedOn w:val="832"/>
    <w:next w:val="832"/>
    <w:link w:val="844"/>
    <w:pPr>
      <w:keepLines/>
      <w:keepNext/>
      <w:spacing w:after="320"/>
    </w:pPr>
    <w:rPr>
      <w:rFonts w:ascii="Arial" w:hAnsi="Arial" w:eastAsia="Arial" w:cs="Arial"/>
      <w:color w:val="666666"/>
      <w:sz w:val="30"/>
      <w:szCs w:val="30"/>
      <w:lang w:val="ru" w:eastAsia="ru-RU"/>
    </w:rPr>
  </w:style>
  <w:style w:type="character" w:styleId="844">
    <w:name w:val="Подзаголовок Знак"/>
    <w:next w:val="844"/>
    <w:link w:val="843"/>
    <w:rPr>
      <w:rFonts w:ascii="Arial" w:hAnsi="Arial" w:eastAsia="Arial" w:cs="Arial"/>
      <w:color w:val="666666"/>
      <w:sz w:val="30"/>
      <w:szCs w:val="30"/>
      <w:lang w:val="ru"/>
    </w:rPr>
  </w:style>
  <w:style w:type="paragraph" w:styleId="845">
    <w:name w:val="Текст выноски"/>
    <w:basedOn w:val="832"/>
    <w:next w:val="845"/>
    <w:link w:val="84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6">
    <w:name w:val="Текст выноски Знак"/>
    <w:next w:val="846"/>
    <w:link w:val="84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47">
    <w:name w:val="Заголовок 3 Знак"/>
    <w:next w:val="847"/>
    <w:link w:val="833"/>
    <w:rPr>
      <w:rFonts w:ascii="Arial" w:hAnsi="Arial" w:eastAsia="Times New Roman"/>
      <w:szCs w:val="26"/>
    </w:rPr>
  </w:style>
  <w:style w:type="character" w:styleId="848">
    <w:name w:val="Заголовок 4 Знак"/>
    <w:next w:val="848"/>
    <w:link w:val="834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849">
    <w:name w:val="Заглавие 4"/>
    <w:basedOn w:val="833"/>
    <w:next w:val="832"/>
    <w:link w:val="850"/>
    <w:qFormat/>
    <w:pPr>
      <w:keepLines/>
      <w:keepNext/>
    </w:pPr>
    <w:rPr>
      <w:b/>
      <w:bCs/>
      <w:sz w:val="24"/>
    </w:rPr>
  </w:style>
  <w:style w:type="character" w:styleId="850">
    <w:name w:val="Заглавие 4 Char Char"/>
    <w:next w:val="850"/>
    <w:link w:val="849"/>
    <w:rPr>
      <w:rFonts w:ascii="Arial" w:hAnsi="Arial" w:eastAsia="Times New Roman"/>
      <w:b/>
      <w:bCs/>
      <w:sz w:val="24"/>
      <w:szCs w:val="26"/>
    </w:rPr>
  </w:style>
  <w:style w:type="paragraph" w:styleId="851">
    <w:name w:val="Обычный (веб)"/>
    <w:basedOn w:val="832"/>
    <w:next w:val="851"/>
    <w:link w:val="832"/>
    <w:uiPriority w:val="99"/>
    <w:unhideWhenUsed/>
    <w:pPr>
      <w:spacing w:before="100" w:beforeAutospacing="1"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2">
    <w:name w:val="Строгий"/>
    <w:next w:val="852"/>
    <w:link w:val="832"/>
    <w:uiPriority w:val="22"/>
    <w:qFormat/>
    <w:rPr>
      <w:b/>
      <w:bCs/>
    </w:rPr>
  </w:style>
  <w:style w:type="character" w:styleId="853">
    <w:name w:val="Заголовок 5 Знак"/>
    <w:next w:val="853"/>
    <w:link w:val="835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table" w:styleId="856" w:default="1">
    <w:name w:val="Normal Table"/>
    <w:uiPriority w:val="99"/>
    <w:semiHidden/>
    <w:unhideWhenUsed/>
    <w:tblPr/>
  </w:style>
  <w:style w:type="paragraph" w:styleId="857" w:customStyle="1">
    <w:name w:val="Normal (Web)"/>
    <w:basedOn w:val="839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58" w:customStyle="1">
    <w:name w:val="Strong"/>
    <w:basedOn w:val="84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Алина Владимировна</dc:creator>
  <cp:revision>24</cp:revision>
  <dcterms:created xsi:type="dcterms:W3CDTF">2022-12-06T10:03:00Z</dcterms:created>
  <dcterms:modified xsi:type="dcterms:W3CDTF">2025-05-28T15:12:02Z</dcterms:modified>
  <cp:version>1048576</cp:version>
</cp:coreProperties>
</file>