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9BD9D" w14:textId="77777777" w:rsidR="00531C0B" w:rsidRPr="00531C0B" w:rsidRDefault="00531C0B" w:rsidP="00531C0B">
      <w:pPr>
        <w:jc w:val="both"/>
        <w:rPr>
          <w:rFonts w:ascii="Times New Roman" w:hAnsi="Times New Roman" w:cs="Times New Roman"/>
          <w:sz w:val="28"/>
          <w:szCs w:val="28"/>
        </w:rPr>
      </w:pPr>
      <w:r w:rsidRPr="00531C0B">
        <w:rPr>
          <w:rFonts w:ascii="Times New Roman" w:hAnsi="Times New Roman" w:cs="Times New Roman"/>
          <w:sz w:val="28"/>
          <w:szCs w:val="28"/>
        </w:rPr>
        <w:t xml:space="preserve">Анализ российского рынка деревянного домостроения: итоги 2024 г., прогноз до 2028 г. </w:t>
      </w:r>
    </w:p>
    <w:p w14:paraId="5B6C1842" w14:textId="77777777" w:rsidR="00531C0B" w:rsidRPr="00531C0B" w:rsidRDefault="00531C0B" w:rsidP="00531C0B">
      <w:pPr>
        <w:jc w:val="both"/>
        <w:rPr>
          <w:rFonts w:ascii="Times New Roman" w:hAnsi="Times New Roman" w:cs="Times New Roman"/>
        </w:rPr>
      </w:pPr>
    </w:p>
    <w:p w14:paraId="5CEB8F37" w14:textId="77777777" w:rsidR="00531C0B" w:rsidRPr="00531C0B" w:rsidRDefault="00531C0B" w:rsidP="00531C0B">
      <w:pPr>
        <w:jc w:val="both"/>
        <w:rPr>
          <w:rFonts w:ascii="Times New Roman" w:hAnsi="Times New Roman" w:cs="Times New Roman"/>
          <w:i/>
          <w:iCs/>
        </w:rPr>
      </w:pPr>
      <w:r w:rsidRPr="00531C0B">
        <w:rPr>
          <w:rFonts w:ascii="Times New Roman" w:hAnsi="Times New Roman" w:cs="Times New Roman"/>
          <w:i/>
          <w:iCs/>
        </w:rPr>
        <w:t xml:space="preserve">В мае-июне 2025 года исследовательская компания </w:t>
      </w:r>
      <w:proofErr w:type="spellStart"/>
      <w:r w:rsidRPr="00531C0B">
        <w:rPr>
          <w:rFonts w:ascii="Times New Roman" w:hAnsi="Times New Roman" w:cs="Times New Roman"/>
          <w:i/>
          <w:iCs/>
        </w:rPr>
        <w:t>NeoAnalytics</w:t>
      </w:r>
      <w:proofErr w:type="spellEnd"/>
      <w:r w:rsidRPr="00531C0B">
        <w:rPr>
          <w:rFonts w:ascii="Times New Roman" w:hAnsi="Times New Roman" w:cs="Times New Roman"/>
          <w:i/>
          <w:iCs/>
        </w:rPr>
        <w:t xml:space="preserve"> завершила проведение маркетингового исследования российского рынка деревянного домостроения.</w:t>
      </w:r>
    </w:p>
    <w:p w14:paraId="53E218C1" w14:textId="77777777" w:rsidR="00531C0B" w:rsidRPr="00531C0B" w:rsidRDefault="00531C0B" w:rsidP="00531C0B">
      <w:pPr>
        <w:jc w:val="both"/>
        <w:rPr>
          <w:rFonts w:ascii="Times New Roman" w:hAnsi="Times New Roman" w:cs="Times New Roman"/>
        </w:rPr>
      </w:pPr>
    </w:p>
    <w:p w14:paraId="23DC93E9" w14:textId="77777777" w:rsidR="00531C0B" w:rsidRDefault="00531C0B" w:rsidP="00531C0B">
      <w:pPr>
        <w:jc w:val="both"/>
        <w:rPr>
          <w:rFonts w:ascii="Times New Roman" w:hAnsi="Times New Roman" w:cs="Times New Roman"/>
        </w:rPr>
      </w:pPr>
      <w:r w:rsidRPr="00531C0B">
        <w:rPr>
          <w:rFonts w:ascii="Times New Roman" w:hAnsi="Times New Roman" w:cs="Times New Roman"/>
        </w:rPr>
        <w:t xml:space="preserve">В ходе исследования, проведенного </w:t>
      </w:r>
      <w:proofErr w:type="spellStart"/>
      <w:r w:rsidRPr="00531C0B">
        <w:rPr>
          <w:rFonts w:ascii="Times New Roman" w:hAnsi="Times New Roman" w:cs="Times New Roman"/>
        </w:rPr>
        <w:t>NeoAnalytics</w:t>
      </w:r>
      <w:proofErr w:type="spellEnd"/>
      <w:r w:rsidRPr="00531C0B">
        <w:rPr>
          <w:rFonts w:ascii="Times New Roman" w:hAnsi="Times New Roman" w:cs="Times New Roman"/>
        </w:rPr>
        <w:t xml:space="preserve"> на тему «Российский рынок деревянного домостроения: итоги 2024 г., прогноз до 2028 г.», выяснилось, что в 2024 г. наблюдался рост ввода в действие деревянных домов, как в количественном, так и в стоимостном выражении. Ежегодно в России строится около 1200-1500 тыс. кв. м. деревянных домов. </w:t>
      </w:r>
    </w:p>
    <w:p w14:paraId="7650C71C" w14:textId="77777777" w:rsidR="00531C0B" w:rsidRPr="00531C0B" w:rsidRDefault="00531C0B" w:rsidP="00531C0B">
      <w:pPr>
        <w:jc w:val="both"/>
        <w:rPr>
          <w:rFonts w:ascii="Times New Roman" w:hAnsi="Times New Roman" w:cs="Times New Roman"/>
        </w:rPr>
      </w:pPr>
    </w:p>
    <w:p w14:paraId="6023056B" w14:textId="77777777" w:rsidR="00531C0B" w:rsidRPr="00531C0B" w:rsidRDefault="00531C0B" w:rsidP="00531C0B">
      <w:pPr>
        <w:jc w:val="both"/>
        <w:rPr>
          <w:rFonts w:ascii="Times New Roman" w:hAnsi="Times New Roman" w:cs="Times New Roman"/>
        </w:rPr>
      </w:pPr>
      <w:r w:rsidRPr="00531C0B">
        <w:rPr>
          <w:rFonts w:ascii="Times New Roman" w:hAnsi="Times New Roman" w:cs="Times New Roman"/>
        </w:rPr>
        <w:t>По итогам 2024 г. объем увеличился на 14,3% по отношению к аналогичному показателю годом ранее и составил более 15 000 тыс. кв. м. Показатель объема в 2024 г. достиг своего пика в ретроспективе периода 2017-2024 гг.</w:t>
      </w:r>
    </w:p>
    <w:p w14:paraId="3A93C76B" w14:textId="77777777" w:rsidR="00531C0B" w:rsidRPr="00531C0B" w:rsidRDefault="00531C0B" w:rsidP="00531C0B">
      <w:pPr>
        <w:jc w:val="both"/>
        <w:rPr>
          <w:rFonts w:ascii="Times New Roman" w:hAnsi="Times New Roman" w:cs="Times New Roman"/>
        </w:rPr>
      </w:pPr>
    </w:p>
    <w:p w14:paraId="52561CC7" w14:textId="77777777" w:rsidR="00531C0B" w:rsidRPr="00531C0B" w:rsidRDefault="00531C0B" w:rsidP="00531C0B">
      <w:pPr>
        <w:jc w:val="both"/>
        <w:rPr>
          <w:rFonts w:ascii="Times New Roman" w:hAnsi="Times New Roman" w:cs="Times New Roman"/>
        </w:rPr>
      </w:pPr>
      <w:r w:rsidRPr="00531C0B">
        <w:rPr>
          <w:rFonts w:ascii="Times New Roman" w:hAnsi="Times New Roman" w:cs="Times New Roman"/>
        </w:rPr>
        <w:t>Наибольший рост наблюдался в 2022 г. когда было введено более 14 млн. кв. м. жилья, что на 31,8% больше предыдущего года. В последующие годы рост составляет 10%-14%.</w:t>
      </w:r>
    </w:p>
    <w:p w14:paraId="4C9ACE04" w14:textId="77777777" w:rsidR="00531C0B" w:rsidRPr="00531C0B" w:rsidRDefault="00531C0B" w:rsidP="00531C0B">
      <w:pPr>
        <w:jc w:val="both"/>
        <w:rPr>
          <w:rFonts w:ascii="Times New Roman" w:hAnsi="Times New Roman" w:cs="Times New Roman"/>
        </w:rPr>
      </w:pPr>
    </w:p>
    <w:p w14:paraId="69DE537B" w14:textId="77777777" w:rsidR="00531C0B" w:rsidRPr="00531C0B" w:rsidRDefault="00531C0B" w:rsidP="00531C0B">
      <w:pPr>
        <w:jc w:val="both"/>
        <w:rPr>
          <w:rFonts w:ascii="Times New Roman" w:hAnsi="Times New Roman" w:cs="Times New Roman"/>
        </w:rPr>
      </w:pPr>
      <w:r w:rsidRPr="00531C0B">
        <w:rPr>
          <w:rFonts w:ascii="Times New Roman" w:hAnsi="Times New Roman" w:cs="Times New Roman"/>
        </w:rPr>
        <w:t>В целом в последние 5 лет наблюдается положительная динамика объема российского рынка домостроения. За последние 8-10 лет уровень деревянного домостроения в России вырос вдвое и достиг своего исторического максимума. Объемы деревянного домостроения растут как в сегменте ИЖС, так и в массовом строительстве. Основными факторами, влияющими на спрос, являются развитие сельских территорий и программа сельской ипотеки, а также отмечается развитие тренда на экодома среди застройщиков. В настоящее время действует семейная, дальневосточная и арктическая ипотека, а также IT-ипотека, которая продлится до 2030 г.</w:t>
      </w:r>
    </w:p>
    <w:p w14:paraId="11358255" w14:textId="77777777" w:rsidR="00531C0B" w:rsidRPr="00531C0B" w:rsidRDefault="00531C0B" w:rsidP="00531C0B">
      <w:pPr>
        <w:jc w:val="both"/>
        <w:rPr>
          <w:rFonts w:ascii="Times New Roman" w:hAnsi="Times New Roman" w:cs="Times New Roman"/>
        </w:rPr>
      </w:pPr>
    </w:p>
    <w:p w14:paraId="4CD5B8E4" w14:textId="77777777" w:rsidR="00531C0B" w:rsidRPr="00531C0B" w:rsidRDefault="00531C0B" w:rsidP="00531C0B">
      <w:pPr>
        <w:jc w:val="both"/>
        <w:rPr>
          <w:rFonts w:ascii="Times New Roman" w:hAnsi="Times New Roman" w:cs="Times New Roman"/>
        </w:rPr>
      </w:pPr>
      <w:r w:rsidRPr="00531C0B">
        <w:rPr>
          <w:rFonts w:ascii="Times New Roman" w:hAnsi="Times New Roman" w:cs="Times New Roman"/>
        </w:rPr>
        <w:t>Сегодня наиболее популярным является каркасное домостроение и производство готовых деревянных домокомплектов промышленным способом, сокращающим время на строительство. В 2024 г. спрос на деревянные домокомплекты для индивидуального жилищного строительства (ИЖС) увеличился на 15% по сравнению с аналогичным показателем годом ранее.</w:t>
      </w:r>
    </w:p>
    <w:p w14:paraId="3E22DDA4" w14:textId="77777777" w:rsidR="00531C0B" w:rsidRPr="00531C0B" w:rsidRDefault="00531C0B" w:rsidP="00531C0B">
      <w:pPr>
        <w:jc w:val="both"/>
        <w:rPr>
          <w:rFonts w:ascii="Times New Roman" w:hAnsi="Times New Roman" w:cs="Times New Roman"/>
        </w:rPr>
      </w:pPr>
    </w:p>
    <w:p w14:paraId="5A9DBC1C" w14:textId="77777777" w:rsidR="00531C0B" w:rsidRPr="00531C0B" w:rsidRDefault="00531C0B" w:rsidP="00531C0B">
      <w:pPr>
        <w:jc w:val="both"/>
        <w:rPr>
          <w:rFonts w:ascii="Times New Roman" w:hAnsi="Times New Roman" w:cs="Times New Roman"/>
        </w:rPr>
      </w:pPr>
      <w:r w:rsidRPr="00531C0B">
        <w:rPr>
          <w:rFonts w:ascii="Times New Roman" w:hAnsi="Times New Roman" w:cs="Times New Roman"/>
        </w:rPr>
        <w:t xml:space="preserve">Данный отчет является продуктом интеллектуальной собственностью исследовательской компании </w:t>
      </w:r>
      <w:proofErr w:type="spellStart"/>
      <w:r w:rsidRPr="00531C0B">
        <w:rPr>
          <w:rFonts w:ascii="Times New Roman" w:hAnsi="Times New Roman" w:cs="Times New Roman"/>
        </w:rPr>
        <w:t>NeoAnalytics</w:t>
      </w:r>
      <w:proofErr w:type="spellEnd"/>
      <w:r w:rsidRPr="00531C0B">
        <w:rPr>
          <w:rFonts w:ascii="Times New Roman" w:hAnsi="Times New Roman" w:cs="Times New Roman"/>
        </w:rPr>
        <w:t>.</w:t>
      </w:r>
    </w:p>
    <w:p w14:paraId="70466EB6" w14:textId="77777777" w:rsidR="00531C0B" w:rsidRPr="00531C0B" w:rsidRDefault="00531C0B" w:rsidP="00531C0B">
      <w:pPr>
        <w:jc w:val="both"/>
        <w:rPr>
          <w:rFonts w:ascii="Times New Roman" w:hAnsi="Times New Roman" w:cs="Times New Roman"/>
        </w:rPr>
      </w:pPr>
    </w:p>
    <w:p w14:paraId="43E3C010" w14:textId="59123593" w:rsidR="00531C0B" w:rsidRPr="00531C0B" w:rsidRDefault="00531C0B" w:rsidP="00531C0B">
      <w:pPr>
        <w:jc w:val="both"/>
        <w:rPr>
          <w:rFonts w:ascii="Times New Roman" w:hAnsi="Times New Roman" w:cs="Times New Roman"/>
        </w:rPr>
      </w:pPr>
      <w:r w:rsidRPr="00531C0B">
        <w:rPr>
          <w:rFonts w:ascii="Times New Roman" w:hAnsi="Times New Roman" w:cs="Times New Roman"/>
        </w:rPr>
        <w:lastRenderedPageBreak/>
        <w:t>Более подробно с результатами исследования можно ознакомиться на официальном сайте www.neoanalytics.ru</w:t>
      </w:r>
    </w:p>
    <w:sectPr w:rsidR="00531C0B" w:rsidRPr="00531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0B"/>
    <w:rsid w:val="00531C0B"/>
    <w:rsid w:val="008D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E94BD"/>
  <w15:chartTrackingRefBased/>
  <w15:docId w15:val="{50E6D363-58F0-44F4-867B-7559B675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1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C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C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C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C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C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C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1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1C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1C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1C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1C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1C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1C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1C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1C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31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C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1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1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1C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1C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1C0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1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1C0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31C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Волкова</dc:creator>
  <cp:keywords/>
  <dc:description/>
  <cp:lastModifiedBy>Анна Волкова</cp:lastModifiedBy>
  <cp:revision>1</cp:revision>
  <dcterms:created xsi:type="dcterms:W3CDTF">2025-06-17T13:42:00Z</dcterms:created>
  <dcterms:modified xsi:type="dcterms:W3CDTF">2025-06-17T13:43:00Z</dcterms:modified>
</cp:coreProperties>
</file>