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5F2AB9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bookmarkStart w:id="0" w:name="_GoBack"/>
          <w:bookmarkEnd w:id="0"/>
          <w:p w:rsidR="005F2AB9" w:rsidRDefault="00F84139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</wp:posOffset>
                      </wp:positionH>
                      <wp:positionV relativeFrom="paragraph">
                        <wp:posOffset>404</wp:posOffset>
                      </wp:positionV>
                      <wp:extent cx="1191895" cy="377825"/>
                      <wp:effectExtent l="0" t="0" r="1905" b="3175"/>
                      <wp:wrapThrough wrapText="bothSides">
                        <wp:wrapPolygon edited="1">
                          <wp:start x="1841" y="0"/>
                          <wp:lineTo x="0" y="4356"/>
                          <wp:lineTo x="0" y="16699"/>
                          <wp:lineTo x="1841" y="21055"/>
                          <wp:lineTo x="4833" y="21055"/>
                          <wp:lineTo x="21404" y="21055"/>
                          <wp:lineTo x="21404" y="2904"/>
                          <wp:lineTo x="4833" y="0"/>
                          <wp:lineTo x="1841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189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05pt;mso-position-horizontal:absolute;mso-position-vertical-relative:text;margin-top:0.03pt;mso-position-vertical:absolute;width:93.85pt;height:29.75pt;mso-wrap-distance-left:9.00pt;mso-wrap-distance-top:0.00pt;mso-wrap-distance-right:9.00pt;mso-wrap-distance-bottom:0.00pt;" wrapcoords="8523 0 0 20167 0 77310 8523 97477 22375 97477 99093 97477 99093 13444 22375 0 8523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5F2AB9" w:rsidRDefault="005F2AB9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:rsidR="005F2AB9" w:rsidRDefault="00F84139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  <w:t>Магистральные электрические сети Востока</w:t>
            </w:r>
          </w:p>
        </w:tc>
      </w:tr>
      <w:tr w:rsidR="005F2AB9">
        <w:trPr>
          <w:trHeight w:val="142"/>
        </w:trPr>
        <w:tc>
          <w:tcPr>
            <w:tcW w:w="3970" w:type="dxa"/>
            <w:vMerge/>
            <w:shd w:val="clear" w:color="auto" w:fill="auto"/>
          </w:tcPr>
          <w:p w:rsidR="005F2AB9" w:rsidRDefault="005F2AB9">
            <w:pPr>
              <w:spacing w:after="0" w:line="240" w:lineRule="auto"/>
              <w:ind w:left="3"/>
            </w:pPr>
          </w:p>
        </w:tc>
        <w:tc>
          <w:tcPr>
            <w:tcW w:w="2069" w:type="dxa"/>
            <w:vMerge/>
            <w:shd w:val="clear" w:color="auto" w:fill="auto"/>
          </w:tcPr>
          <w:p w:rsidR="005F2AB9" w:rsidRDefault="005F2AB9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3459" w:type="dxa"/>
            <w:shd w:val="clear" w:color="auto" w:fill="auto"/>
          </w:tcPr>
          <w:p w:rsidR="005F2AB9" w:rsidRDefault="00F84139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ПРЕСС-РЕЛИЗ</w:t>
            </w:r>
          </w:p>
        </w:tc>
      </w:tr>
      <w:tr w:rsidR="005F2AB9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:rsidR="005F2AB9" w:rsidRDefault="005F2AB9">
            <w:pPr>
              <w:spacing w:after="0" w:line="240" w:lineRule="auto"/>
              <w:ind w:left="3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:rsidR="005F2AB9" w:rsidRDefault="005F2AB9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:rsidR="005F2AB9" w:rsidRDefault="005F2A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F2AB9" w:rsidRDefault="005F2AB9">
      <w:pPr>
        <w:rPr>
          <w:rFonts w:ascii="Arial Narrow" w:hAnsi="Arial Narrow"/>
          <w:b/>
          <w:sz w:val="26"/>
          <w:szCs w:val="26"/>
        </w:rPr>
      </w:pPr>
    </w:p>
    <w:p w:rsidR="005F2AB9" w:rsidRDefault="00F84139">
      <w:pPr>
        <w:jc w:val="center"/>
        <w:rPr>
          <w:rFonts w:ascii="Arial Narrow" w:eastAsia="PF Din Text Cond Pro" w:hAnsi="Arial Narrow" w:cs="PF Din Text Cond Pro"/>
          <w:b/>
          <w:bCs/>
          <w:sz w:val="26"/>
          <w:szCs w:val="26"/>
        </w:rPr>
      </w:pPr>
      <w:r>
        <w:rPr>
          <w:rFonts w:ascii="Arial Narrow" w:eastAsia="PF Din Text Cond Pro" w:hAnsi="Arial Narrow" w:cs="PF Din Text Cond Pro"/>
          <w:b/>
          <w:bCs/>
          <w:sz w:val="26"/>
          <w:szCs w:val="26"/>
        </w:rPr>
        <w:t>Более 150 школьников Дальнего Востока побывали с экскурсиями на магистральных сетевых объектах</w:t>
      </w:r>
    </w:p>
    <w:p w:rsidR="005F2AB9" w:rsidRDefault="00F84139">
      <w:pPr>
        <w:jc w:val="both"/>
        <w:rPr>
          <w:rFonts w:ascii="Arial Narrow" w:eastAsia="PF Din Text Cond Pro" w:hAnsi="Arial Narrow" w:cs="PF Din Text Cond Pro"/>
          <w:sz w:val="26"/>
          <w:szCs w:val="26"/>
        </w:rPr>
      </w:pPr>
      <w:r>
        <w:rPr>
          <w:rFonts w:ascii="Arial Narrow" w:eastAsia="PF Din Text Cond Pro" w:hAnsi="Arial Narrow" w:cs="PF Din Text Cond Pro"/>
          <w:sz w:val="26"/>
          <w:szCs w:val="26"/>
        </w:rPr>
        <w:t>В начале летних каникул 2025 года филиал ПАО «Россети» – МЭС Востока провел серию экскурсий для учащихся школ</w:t>
      </w:r>
      <w:r w:rsidR="005277D6" w:rsidRPr="005277D6">
        <w:t xml:space="preserve"> </w:t>
      </w:r>
      <w:r w:rsidR="005277D6" w:rsidRPr="005277D6">
        <w:rPr>
          <w:rFonts w:ascii="Arial Narrow" w:eastAsia="PF Din Text Cond Pro" w:hAnsi="Arial Narrow" w:cs="PF Din Text Cond Pro"/>
          <w:sz w:val="26"/>
          <w:szCs w:val="26"/>
        </w:rPr>
        <w:t>Республики Саха (Якутия)</w:t>
      </w:r>
      <w:r w:rsidR="005277D6">
        <w:rPr>
          <w:rFonts w:ascii="Arial Narrow" w:eastAsia="PF Din Text Cond Pro" w:hAnsi="Arial Narrow" w:cs="PF Din Text Cond Pro"/>
          <w:sz w:val="26"/>
          <w:szCs w:val="26"/>
        </w:rPr>
        <w:t>,</w:t>
      </w:r>
      <w:r>
        <w:rPr>
          <w:rFonts w:ascii="Arial Narrow" w:eastAsia="PF Din Text Cond Pro" w:hAnsi="Arial Narrow" w:cs="PF Din Text Cond Pro"/>
          <w:sz w:val="26"/>
          <w:szCs w:val="26"/>
        </w:rPr>
        <w:t xml:space="preserve"> Хабаровского и Приморского краев, Амурской области на крупные подстанции регионов. Более 150 ребят познакомились с основами работы сетевого комплекса и правилами электробезопасности.</w:t>
      </w:r>
    </w:p>
    <w:p w:rsidR="005277D6" w:rsidRDefault="000053E9">
      <w:pPr>
        <w:jc w:val="both"/>
        <w:rPr>
          <w:rFonts w:ascii="Arial Narrow" w:eastAsia="PF Din Text Cond Pro" w:hAnsi="Arial Narrow" w:cs="PF Din Text Cond Pro"/>
          <w:sz w:val="26"/>
          <w:szCs w:val="26"/>
        </w:rPr>
      </w:pPr>
      <w:r>
        <w:rPr>
          <w:rFonts w:ascii="Arial Narrow" w:eastAsia="PF Din Text Cond Pro" w:hAnsi="Arial Narrow" w:cs="PF Din Text Cond Pro"/>
          <w:sz w:val="26"/>
          <w:szCs w:val="26"/>
        </w:rPr>
        <w:t xml:space="preserve"> </w:t>
      </w:r>
      <w:r w:rsidR="005277D6" w:rsidRPr="005277D6">
        <w:rPr>
          <w:rFonts w:ascii="Arial Narrow" w:eastAsia="PF Din Text Cond Pro" w:hAnsi="Arial Narrow" w:cs="PF Din Text Cond Pro"/>
          <w:sz w:val="26"/>
          <w:szCs w:val="26"/>
        </w:rPr>
        <w:t>В Якутия школьники посетили объекты, задействованные в электроснабжении магистрального нефтепровода «Восточная Сибирь – Тихий океан». Это подстанций 220 кВ НПС – 19, расположенная на юге Республики   и подстанция 220 кВ «Нижний Куранах», которая  входит в состав 750-километрового транзита 220 кВ «Нерюнгринская ГРЭС – Нижний Куранах – Томмот – Майя</w:t>
      </w:r>
      <w:r w:rsidR="005277D6">
        <w:rPr>
          <w:rFonts w:ascii="Arial Narrow" w:eastAsia="PF Din Text Cond Pro" w:hAnsi="Arial Narrow" w:cs="PF Din Text Cond Pro"/>
          <w:sz w:val="26"/>
          <w:szCs w:val="26"/>
        </w:rPr>
        <w:t>»</w:t>
      </w:r>
      <w:r w:rsidR="005277D6" w:rsidRPr="005277D6">
        <w:rPr>
          <w:rFonts w:ascii="Arial Narrow" w:eastAsia="PF Din Text Cond Pro" w:hAnsi="Arial Narrow" w:cs="PF Din Text Cond Pro"/>
          <w:sz w:val="26"/>
          <w:szCs w:val="26"/>
        </w:rPr>
        <w:t>.</w:t>
      </w:r>
    </w:p>
    <w:p w:rsidR="005F2AB9" w:rsidRDefault="005277D6">
      <w:pPr>
        <w:jc w:val="both"/>
        <w:rPr>
          <w:rFonts w:ascii="Arial Narrow" w:eastAsia="PF Din Text Cond Pro" w:hAnsi="Arial Narrow" w:cs="PF Din Text Cond Pro"/>
          <w:sz w:val="26"/>
          <w:szCs w:val="26"/>
        </w:rPr>
      </w:pPr>
      <w:r>
        <w:rPr>
          <w:rFonts w:ascii="Arial Narrow" w:eastAsia="PF Din Text Cond Pro" w:hAnsi="Arial Narrow" w:cs="PF Din Text Cond Pro"/>
          <w:sz w:val="26"/>
          <w:szCs w:val="26"/>
        </w:rPr>
        <w:t xml:space="preserve"> В Приамурье ребята </w:t>
      </w:r>
      <w:r w:rsidR="00F84139">
        <w:rPr>
          <w:rFonts w:ascii="Arial Narrow" w:eastAsia="PF Din Text Cond Pro" w:hAnsi="Arial Narrow" w:cs="PF Din Text Cond Pro"/>
          <w:sz w:val="26"/>
          <w:szCs w:val="26"/>
        </w:rPr>
        <w:t xml:space="preserve"> побывали на подстанции 500 кВ «Амурская», которая участвует в выдаче в Единую национальную электрическую сеть мощности крупнейших гидроэлектростанций Дальнего Востока, а также на подстанции 500 кВ «Хехцир»</w:t>
      </w:r>
      <w:r>
        <w:rPr>
          <w:rFonts w:ascii="Arial Narrow" w:eastAsia="PF Din Text Cond Pro" w:hAnsi="Arial Narrow" w:cs="PF Din Text Cond Pro"/>
          <w:sz w:val="26"/>
          <w:szCs w:val="26"/>
        </w:rPr>
        <w:t xml:space="preserve"> в Хабаровском крае</w:t>
      </w:r>
      <w:r w:rsidR="00F84139">
        <w:rPr>
          <w:rFonts w:ascii="Arial Narrow" w:eastAsia="PF Din Text Cond Pro" w:hAnsi="Arial Narrow" w:cs="PF Din Text Cond Pro"/>
          <w:sz w:val="26"/>
          <w:szCs w:val="26"/>
        </w:rPr>
        <w:t xml:space="preserve">, обеспечивающей связи Хабаровской и Приморской энергосистем. </w:t>
      </w:r>
    </w:p>
    <w:p w:rsidR="005277D6" w:rsidRDefault="00F84139">
      <w:pPr>
        <w:jc w:val="both"/>
        <w:rPr>
          <w:rFonts w:ascii="Arial Narrow" w:eastAsia="PF Din Text Cond Pro" w:hAnsi="Arial Narrow" w:cs="PF Din Text Cond Pro"/>
          <w:sz w:val="26"/>
          <w:szCs w:val="26"/>
        </w:rPr>
      </w:pPr>
      <w:r>
        <w:rPr>
          <w:rFonts w:ascii="Arial Narrow" w:eastAsia="PF Din Text Cond Pro" w:hAnsi="Arial Narrow" w:cs="PF Din Text Cond Pro"/>
          <w:sz w:val="26"/>
          <w:szCs w:val="26"/>
        </w:rPr>
        <w:t xml:space="preserve">Кроме того, энергетики провели экскурсии на переключательном пункте 500 кВ «Нерген, который участвует в электроснабжении Малмыжского золото-медного месторождения, подстанции 220 кВ «Промпарк», питающей территорию опережающего развития «Приморье». </w:t>
      </w:r>
    </w:p>
    <w:p w:rsidR="005F2AB9" w:rsidRDefault="00F84139">
      <w:pPr>
        <w:jc w:val="both"/>
        <w:rPr>
          <w:rFonts w:ascii="Arial Narrow" w:eastAsia="PF Din Text Cond Pro" w:hAnsi="Arial Narrow" w:cs="PF Din Text Cond Pro"/>
          <w:sz w:val="26"/>
          <w:szCs w:val="26"/>
        </w:rPr>
      </w:pPr>
      <w:r>
        <w:rPr>
          <w:rFonts w:ascii="Arial Narrow" w:eastAsia="PF Din Text Cond Pro" w:hAnsi="Arial Narrow" w:cs="PF Din Text Cond Pro"/>
          <w:sz w:val="26"/>
          <w:szCs w:val="26"/>
        </w:rPr>
        <w:t xml:space="preserve">Специалисты МЭС Востока рассказали о принципах работы оборудования, познакомили с основами профессии энергетика. Кроме того, прошли конкурсы и викторины об электробезопасности. В том числе дети познакомились с Машей Лампочкиной –  мультипликационным персонажем, который ведет на эту тему </w:t>
      </w:r>
      <w:hyperlink r:id="rId9" w:tooltip="https://vk.com/masha_lampochkina" w:history="1">
        <w:r>
          <w:rPr>
            <w:rStyle w:val="afc"/>
            <w:rFonts w:ascii="Arial Narrow" w:eastAsia="PF Din Text Cond Pro" w:hAnsi="Arial Narrow" w:cs="PF Din Text Cond Pro"/>
            <w:sz w:val="26"/>
            <w:szCs w:val="26"/>
          </w:rPr>
          <w:t>блог</w:t>
        </w:r>
      </w:hyperlink>
      <w:r>
        <w:rPr>
          <w:rFonts w:ascii="Arial Narrow" w:eastAsia="PF Din Text Cond Pro" w:hAnsi="Arial Narrow" w:cs="PF Din Text Cond Pro"/>
          <w:sz w:val="26"/>
          <w:szCs w:val="26"/>
        </w:rPr>
        <w:t xml:space="preserve"> в соцсетях.</w:t>
      </w:r>
    </w:p>
    <w:p w:rsidR="001B1E03" w:rsidRDefault="001B1E03">
      <w:pPr>
        <w:jc w:val="both"/>
        <w:rPr>
          <w:rFonts w:ascii="Arial Narrow" w:eastAsia="PF Din Text Cond Pro" w:hAnsi="Arial Narrow" w:cs="PF Din Text Cond Pro"/>
          <w:sz w:val="26"/>
          <w:szCs w:val="26"/>
        </w:rPr>
      </w:pPr>
    </w:p>
    <w:sectPr w:rsidR="001B1E03">
      <w:pgSz w:w="11906" w:h="16838"/>
      <w:pgMar w:top="854" w:right="851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8D" w:rsidRDefault="00986A8D">
      <w:pPr>
        <w:spacing w:after="0" w:line="240" w:lineRule="auto"/>
      </w:pPr>
      <w:r>
        <w:separator/>
      </w:r>
    </w:p>
  </w:endnote>
  <w:endnote w:type="continuationSeparator" w:id="0">
    <w:p w:rsidR="00986A8D" w:rsidRDefault="0098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">
    <w:panose1 w:val="020000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8D" w:rsidRDefault="00986A8D">
      <w:pPr>
        <w:spacing w:after="0" w:line="240" w:lineRule="auto"/>
      </w:pPr>
      <w:r>
        <w:separator/>
      </w:r>
    </w:p>
  </w:footnote>
  <w:footnote w:type="continuationSeparator" w:id="0">
    <w:p w:rsidR="00986A8D" w:rsidRDefault="00986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9"/>
    <w:rsid w:val="000053E9"/>
    <w:rsid w:val="001B1E03"/>
    <w:rsid w:val="002A41B7"/>
    <w:rsid w:val="003570A4"/>
    <w:rsid w:val="005277D6"/>
    <w:rsid w:val="005F2AB9"/>
    <w:rsid w:val="007E5E55"/>
    <w:rsid w:val="00805B11"/>
    <w:rsid w:val="00986A8D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08ECF-0DBB-4A93-BFB6-7021A0D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masha_lampoc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Викснина Ирина Юрьевна</cp:lastModifiedBy>
  <cp:revision>2</cp:revision>
  <dcterms:created xsi:type="dcterms:W3CDTF">2025-06-20T01:26:00Z</dcterms:created>
  <dcterms:modified xsi:type="dcterms:W3CDTF">2025-06-20T01:26:00Z</dcterms:modified>
</cp:coreProperties>
</file>