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Калужские студенты узнали о возможностях сервиса «Я 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Агро»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для работы в АПК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Заместитель директора Калужского регионального филиала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Ольга Стрельникова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ежегодной выставке передовых технологий в сельском хозяйстве «День Калужского поля»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представила платформу банка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для кадров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АПК «Я в Агро». Мероприятие состоялось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в Перемышльском районе на площадке Калужского НИИСХ – филиала ФГБНУ «ФИЦ картофеля имени А. Г. Лорха»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На открытии выставки выступили губернатор Владислав Шапш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а и председатель Комитета Совета Федерации Федерального Собрания Российской Федерации по бюджету и финансовым рынкам Анатолий Артамонов.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</w:rPr>
      </w:r>
    </w:p>
    <w:p>
      <w:pPr>
        <w:ind w:firstLine="425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своем выступлении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 рамках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сессии «Агроинженерия 360: взгляд студентов и специалистов»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Ольга Стрельникова рассказала о главных возможностях сервиса. Платформа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объединяет начинающих специалистов и опытных профессионалов, стремящихся к обучению, развитию и карьерному росту в агротехнической сфе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ре.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На сегодня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в «Я в Агро» доступны для соискателей более 500 вакансий по Калужской области.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Также Ольга Стрельникова отметила, что кроме стандартной банковской деятельности РСХБ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активно поддерживает развитие сельского хозяйства и сельских территорий, реализуя множество социальных проектов, направленных на поддержку и развитие кадров в агробизнесе.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425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«Вектор на развитие аграрного образования очень серьезно поддерживается нашим банком, поэтому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большое количество проектов мы проводим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агроклассах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«Школе фермера»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кадемией имени К.А.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Тимирязева.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Россельхозбанк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оказывает важную поддержку студентам в виде грантов и стипендий,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способствуя тем самым формированию нового поколения квалифицированных специалистов для агропромышленного комплекса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», 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отметила Ольга Стрельникова.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25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«День Калужского поля» — одно из ярких событий в жизни Калужского региона. Это масштабная площадка, на которой собираются калужские аграрии и приглашённые гости.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Они представляют свои последние разработки в области животноводства, семеноводства, селекции, а такж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е сельхозтехники.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425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этом году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олее 50 компаний представили порядка 100 единиц техники, удобрения и семена.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</w:rPr>
        <w:t xml:space="preserve">Праздник собрал сотни людей, гостей, местных производителей, фермеров, студентов сельхозакадемии.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  <w:t xml:space="preserve">Участников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white"/>
        </w:rPr>
        <w:t xml:space="preserve"> ожидали деловые встречи и развлечения. Фермеры поделились своим опытом в возделывании культур и роли современной техники в повышении урожаев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Так, например, на специальном стенде были представлены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образцы беспилотников, которые предназначены для мониторинга посевов и внесения средств для их защиты.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ходе торжественной церемонии состоялось награждение специалистов отрасли и победителей областного соревнования «Лучший агроном сельскохозяйственного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производства 2025 года»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Также, в рамках выставки прошел финал регионального этапа  фестиваля «Земля спорта», который собрал делегации со всех муниципалитетов Калужского региона.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425" w:right="850" w:bottom="39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 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(АО «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Россельхозбанк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»)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Калужский региональный филиал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/>
        <w:b/>
        <w:bCs/>
        <w:sz w:val="24"/>
        <w:szCs w:val="24"/>
      </w:rPr>
      <w:t xml:space="preserve">Служба общественных связей</w:t>
    </w:r>
    <w:r>
      <w:rPr>
        <w:rFonts w:ascii="Times New Roman" w:hAnsi="Times New Roman" w:eastAsia="Times New Roman"/>
        <w:b/>
        <w:bCs/>
        <w:sz w:val="24"/>
        <w:szCs w:val="24"/>
      </w:rPr>
    </w:r>
    <w:r>
      <w:rPr>
        <w:rFonts w:ascii="Times New Roman" w:hAnsi="Times New Roman" w:eastAsia="Times New Roman"/>
        <w:b/>
        <w:bCs/>
        <w:sz w:val="24"/>
        <w:szCs w:val="24"/>
      </w:rPr>
    </w:r>
  </w:p>
  <w:p>
    <w:pPr>
      <w:pStyle w:val="789"/>
    </w:pPr>
    <w:r/>
    <w:r/>
  </w:p>
  <w:p>
    <w:pPr>
      <w:pStyle w:val="789"/>
      <w:rPr>
        <w:rFonts w:ascii="Times New Roman" w:hAnsi="Times New Roman" w:eastAsia="Times New Roman"/>
      </w:rPr>
    </w:pPr>
    <w:r>
      <w:rPr>
        <w:rFonts w:ascii="Times New Roman" w:hAnsi="Times New Roman" w:eastAsia="Times New Roman"/>
      </w:rPr>
      <w:t xml:space="preserve">ул. Кирова., д.2, г. Калуга, 248001</w:t>
    </w:r>
    <w:r>
      <w:rPr>
        <w:rFonts w:ascii="Times New Roman" w:hAnsi="Times New Roman" w:eastAsia="Times New Roman"/>
      </w:rPr>
    </w:r>
    <w:r>
      <w:rPr>
        <w:rFonts w:ascii="Times New Roman" w:hAnsi="Times New Roman" w:eastAsia="Times New Roman"/>
      </w:rPr>
    </w:r>
  </w:p>
  <w:p>
    <w:pPr>
      <w:pStyle w:val="789"/>
      <w:rPr>
        <w:rFonts w:ascii="Times New Roman" w:hAnsi="Times New Roman" w:eastAsia="Times New Roman"/>
        <w:sz w:val="24"/>
        <w:szCs w:val="24"/>
        <w:lang w:eastAsia="ru-RU"/>
      </w:rPr>
    </w:pPr>
    <w:r>
      <w:rPr>
        <w:rFonts w:ascii="Times New Roman" w:hAnsi="Times New Roman" w:eastAsia="Times New Roman"/>
      </w:rPr>
      <w:t xml:space="preserve">  </w:t>
    </w:r>
    <w:r>
      <w:t xml:space="preserve">     </w:t>
    </w:r>
    <w:r>
      <w:rPr>
        <w:rFonts w:ascii="Times New Roman" w:hAnsi="Times New Roman" w:eastAsia="Times New Roman"/>
        <w:sz w:val="24"/>
        <w:szCs w:val="24"/>
        <w:lang w:eastAsia="ru-RU"/>
      </w:rPr>
    </w:r>
    <w:r>
      <w:rPr>
        <w:rFonts w:ascii="Times New Roman" w:hAnsi="Times New Roman" w:eastAsia="Times New Roman"/>
        <w:sz w:val="24"/>
        <w:szCs w:val="24"/>
        <w:lang w:eastAsia="ru-RU"/>
      </w:rPr>
    </w:r>
  </w:p>
  <w:p>
    <w:pPr>
      <w:pStyle w:val="789"/>
    </w:pPr>
    <w:r>
      <w:rPr>
        <w:rFonts w:ascii="Times New Roman" w:hAnsi="Times New Roman" w:eastAsia="Times New Roman"/>
        <w:sz w:val="24"/>
        <w:szCs w:val="24"/>
        <w:lang w:eastAsia="ru-RU"/>
      </w:rPr>
      <w:t xml:space="preserve">30 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июня  2025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г.                                                                                                   Пресс-релиз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9"/>
    <w:link w:val="781"/>
    <w:uiPriority w:val="10"/>
    <w:rPr>
      <w:sz w:val="48"/>
      <w:szCs w:val="48"/>
    </w:rPr>
  </w:style>
  <w:style w:type="character" w:styleId="752">
    <w:name w:val="Subtitle Char"/>
    <w:basedOn w:val="769"/>
    <w:link w:val="783"/>
    <w:uiPriority w:val="11"/>
    <w:rPr>
      <w:sz w:val="24"/>
      <w:szCs w:val="24"/>
    </w:rPr>
  </w:style>
  <w:style w:type="character" w:styleId="753">
    <w:name w:val="Quote Char"/>
    <w:link w:val="785"/>
    <w:uiPriority w:val="29"/>
    <w:rPr>
      <w:i/>
    </w:rPr>
  </w:style>
  <w:style w:type="character" w:styleId="754">
    <w:name w:val="Intense Quote Char"/>
    <w:link w:val="787"/>
    <w:uiPriority w:val="30"/>
    <w:rPr>
      <w:i/>
    </w:rPr>
  </w:style>
  <w:style w:type="character" w:styleId="755">
    <w:name w:val="Header Char"/>
    <w:basedOn w:val="769"/>
    <w:link w:val="789"/>
    <w:uiPriority w:val="99"/>
  </w:style>
  <w:style w:type="character" w:styleId="756">
    <w:name w:val="Caption Char"/>
    <w:basedOn w:val="793"/>
    <w:link w:val="791"/>
    <w:uiPriority w:val="99"/>
  </w:style>
  <w:style w:type="character" w:styleId="757">
    <w:name w:val="Footnote Text Char"/>
    <w:link w:val="922"/>
    <w:uiPriority w:val="99"/>
    <w:rPr>
      <w:sz w:val="18"/>
    </w:rPr>
  </w:style>
  <w:style w:type="character" w:styleId="758">
    <w:name w:val="Endnote Text Char"/>
    <w:link w:val="925"/>
    <w:uiPriority w:val="99"/>
    <w:rPr>
      <w:sz w:val="20"/>
    </w:r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77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7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"/>
    <w:link w:val="76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61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Title"/>
    <w:basedOn w:val="759"/>
    <w:next w:val="759"/>
    <w:link w:val="782"/>
    <w:uiPriority w:val="10"/>
    <w:qFormat/>
    <w:pPr>
      <w:contextualSpacing/>
      <w:spacing w:before="300"/>
    </w:pPr>
    <w:rPr>
      <w:sz w:val="48"/>
      <w:szCs w:val="48"/>
    </w:rPr>
  </w:style>
  <w:style w:type="character" w:styleId="782" w:customStyle="1">
    <w:name w:val="Заголовок Знак"/>
    <w:link w:val="781"/>
    <w:uiPriority w:val="10"/>
    <w:rPr>
      <w:sz w:val="48"/>
      <w:szCs w:val="48"/>
    </w:rPr>
  </w:style>
  <w:style w:type="paragraph" w:styleId="783">
    <w:name w:val="Subtitle"/>
    <w:basedOn w:val="759"/>
    <w:next w:val="759"/>
    <w:link w:val="784"/>
    <w:uiPriority w:val="11"/>
    <w:qFormat/>
    <w:pPr>
      <w:spacing w:before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9"/>
    <w:next w:val="759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9"/>
    <w:next w:val="759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9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 w:customStyle="1">
    <w:name w:val="Верхний колонтитул Знак"/>
    <w:link w:val="789"/>
    <w:uiPriority w:val="99"/>
  </w:style>
  <w:style w:type="paragraph" w:styleId="791">
    <w:name w:val="Footer"/>
    <w:basedOn w:val="759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59"/>
    <w:next w:val="75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94" w:customStyle="1">
    <w:name w:val="Нижний колонтитул Знак"/>
    <w:link w:val="791"/>
    <w:uiPriority w:val="99"/>
  </w:style>
  <w:style w:type="table" w:styleId="795">
    <w:name w:val="Table Grid"/>
    <w:basedOn w:val="7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6" w:customStyle="1">
    <w:name w:val="Table Grid Light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>
    <w:name w:val="Plain Table 1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7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5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7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0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9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0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1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2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8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9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0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1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2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3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9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0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1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2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3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4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6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7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8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9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0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563c1" w:themeColor="hyperlink"/>
      <w:u w:val="single"/>
    </w:rPr>
  </w:style>
  <w:style w:type="paragraph" w:styleId="922">
    <w:name w:val="footnote text"/>
    <w:basedOn w:val="75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5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59"/>
    <w:next w:val="759"/>
    <w:uiPriority w:val="39"/>
    <w:unhideWhenUsed/>
    <w:pPr>
      <w:spacing w:after="57"/>
    </w:pPr>
  </w:style>
  <w:style w:type="paragraph" w:styleId="929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30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31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32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33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4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5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6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59"/>
    <w:next w:val="759"/>
    <w:uiPriority w:val="99"/>
    <w:unhideWhenUsed/>
    <w:pPr>
      <w:spacing w:after="0"/>
    </w:pPr>
  </w:style>
  <w:style w:type="paragraph" w:styleId="939">
    <w:name w:val="No Spacing"/>
    <w:basedOn w:val="759"/>
    <w:uiPriority w:val="1"/>
    <w:qFormat/>
    <w:pPr>
      <w:spacing w:after="0" w:line="240" w:lineRule="auto"/>
    </w:pPr>
  </w:style>
  <w:style w:type="paragraph" w:styleId="940">
    <w:name w:val="List Paragraph"/>
    <w:basedOn w:val="759"/>
    <w:uiPriority w:val="34"/>
    <w:qFormat/>
    <w:pPr>
      <w:contextualSpacing/>
      <w:ind w:left="720"/>
    </w:pPr>
  </w:style>
  <w:style w:type="paragraph" w:styleId="941" w:customStyle="1">
    <w:name w:val="DocumentBody"/>
    <w:link w:val="758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2" w:customStyle="1">
    <w:name w:val="Normal (Web)"/>
    <w:basedOn w:val="84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2024-11-28T06:17:00Z</dcterms:created>
  <dcterms:modified xsi:type="dcterms:W3CDTF">2025-06-30T13:04:44Z</dcterms:modified>
</cp:coreProperties>
</file>