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tabs>
          <w:tab w:val="right" w:pos="9329" w:leader="none"/>
          <w:tab w:val="clear" w:pos="9355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Акционерное общество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tabs>
          <w:tab w:val="center" w:pos="4677" w:leader="none"/>
          <w:tab w:val="right" w:pos="932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«Российский Сельскохозяйственный банк»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(АО «Россельхозбанк»)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center" w:pos="4677" w:leader="none"/>
          <w:tab w:val="right" w:pos="9329" w:leader="none"/>
        </w:tabs>
        <w:rPr>
          <w:rFonts w:ascii="Times New Roman" w:hAnsi="Times New Roman" w:cs="Times New Roman"/>
          <w:b/>
          <w:bCs/>
        </w:rPr>
        <w:pBdr>
          <w:bottom w:val="single" w:color="000000" w:sz="12" w:space="0"/>
        </w:pBdr>
      </w:pPr>
      <w:r>
        <w:rPr>
          <w:rFonts w:ascii="Times New Roman" w:hAnsi="Times New Roman" w:eastAsia="Times New Roman" w:cs="Times New Roman"/>
          <w:bCs/>
        </w:rPr>
        <w:t xml:space="preserve">Орловский региональный филиал</w:t>
      </w:r>
      <w:r>
        <w:rPr>
          <w:rFonts w:ascii="Times New Roman" w:hAnsi="Times New Roman" w:eastAsia="Times New Roman" w:cs="Times New Roman"/>
          <w:b/>
          <w:bCs/>
        </w:rPr>
        <w:br/>
        <w:t xml:space="preserve">Служба общественных связей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tabs>
          <w:tab w:val="right" w:pos="935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</w:rPr>
        <w:t xml:space="preserve">02 июля 2025        </w:t>
      </w:r>
      <w:r>
        <w:t xml:space="preserve">                                      </w:t>
      </w:r>
      <w:r>
        <w:rPr>
          <w:rFonts w:ascii="Times New Roman" w:hAnsi="Times New Roman"/>
        </w:rPr>
        <w:tab/>
        <w:t xml:space="preserve">пресс-релиз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6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6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Россельхозбанк </w:t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«Дне</w:t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</w:rPr>
        <w:t xml:space="preserve"> русского поля» представил губернатору  </w:t>
        <w:br/>
        <w:t xml:space="preserve">подарочное издание «Лица АПК»</w:t>
      </w:r>
      <w:r>
        <w:rPr>
          <w:rStyle w:val="836"/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37"/>
        <w:ind w:firstLine="0"/>
        <w:spacing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Россельхозбанк традиционно принял участие в ежегодном праздничном мероприятии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всех аграриев «День русского пол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я». На Орловщине «День Поля» празднуется широко, в выходные дни, с насыщенной культурной  программой, активностями для семей с детьми, ярмаркой фермерских продуктов и выставкой сельскохозяйственной техники.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В этом году площадкой для праздника стало село Отрадинское Мценского района Орловской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pStyle w:val="837"/>
        <w:ind w:firstLine="0"/>
        <w:spacing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Во время обхода экспонентов делегацией Правительства Орловской области руководители Орловского филиала РСХБ презентовали губернатору праздничное издание  «Лица АПК», приуроченное к 25-летию банка.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Книга содержит информацию о выдающихся представителях аграрной отрасли федерального и регионального уровней за 25 лет.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pStyle w:val="837"/>
        <w:ind w:firstLine="0"/>
        <w:spacing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От Орловской области в издании представлены руководители предприятий, внёсшие весомый вклад в развитие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регионального АПК: 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енеральный директор АО «Агрофирма Мценская»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Николай Жернов,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ЗАО «Славянское»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Дмитрий Пониткин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генеральный директор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компании «Мельинвест» Николай Бирюков. Помимо успешной профессиональной деятельности, все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 xml:space="preserve">оказывают благотворительную помощь социальным учреждениям,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 гуманитарную поддержку российских военнослужащих, проявляют инициативу по благоустройству инфраструктуры родных мест.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/>
    </w:p>
    <w:p>
      <w:pPr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«Для нас большая честь быть банком первого выбора для предприятий, работающих на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обеспечение продовольственной безопасности страны.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t xml:space="preserve"> За первое полугодие региональный филиал выдал аграрным предприятиям Орловской области порядка 3,8 млрд рублей, из которых 3,2 млрд рублей – на проведение сезонных полевых работ. Практически 100%  средств выданы по программе льготного кредитования аграриев», – отметил заместитель директора Орловского филиала РСХБ Юрий Есипов.</w:t>
      </w:r>
      <w:r>
        <w:rPr>
          <w:highlight w:val="none"/>
          <w14:ligatures w14:val="none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836" w:customStyle="1">
    <w:name w:val="Document_Name"/>
    <w:uiPriority w:val="1"/>
    <w:qFormat/>
    <w:rPr>
      <w:rFonts w:ascii="Arial" w:hAnsi="Arial"/>
      <w:b w:val="0"/>
      <w:sz w:val="24"/>
    </w:rPr>
  </w:style>
  <w:style w:type="paragraph" w:styleId="837" w:customStyle="1">
    <w:name w:val="DocumentBody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2025-07-07T08:38:29Z</dcterms:modified>
</cp:coreProperties>
</file>