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before="120" w:after="120"/>
        <w:rPr>
          <w:color w:val="000000"/>
        </w:rPr>
      </w:pPr>
      <w:r>
        <w:rPr/>
        <w:drawing xmlns:mc="http://schemas.openxmlformats.org/markup-compatibility/2006">
          <wp:inline distT="0" distB="0" distL="0" distR="0">
            <wp:extent cx="6477329" cy="103822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/>
                  </pic:nvPicPr>
                  <pic:blipFill>
                    <a:blip r:embed="rId22"/>
                    <a:srcRect b="15065"/>
                    <a:stretch/>
                  </pic:blipFill>
                  <pic:spPr>
                    <a:xfrm>
                      <a:off x="0" y="0"/>
                      <a:ext cx="6477329" cy="1038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Пункт-3"/>
        <w:spacing w:after="240" w:line="360" w:lineRule="auto"/>
        <w:ind w:firstLine="142"/>
        <w:jc w:val="left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Москва, 11.07.2025</w:t>
      </w:r>
    </w:p>
    <w:p>
      <w:pPr>
        <w:ind w:left="60" w:right="68"/>
        <w:jc w:val="center"/>
        <w:rPr>
          <w:rFonts w:ascii="Arial" w:cs="Arial" w:hAnsi="Arial"/>
          <w:b/>
          <w:bCs/>
          <w:lang w:val="ru-RU"/>
        </w:rPr>
      </w:pPr>
      <w:r>
        <w:rPr>
          <w:rFonts w:ascii="Arial" w:cs="Arial" w:hAnsi="Arial"/>
          <w:b/>
          <w:bCs/>
          <w:lang w:val="ru-RU"/>
        </w:rPr>
        <w:t>Пресс-релиз</w:t>
      </w:r>
    </w:p>
    <w:p>
      <w:pPr>
        <w:ind w:left="60" w:right="68"/>
        <w:jc w:val="center"/>
        <w:rPr>
          <w:rFonts w:ascii="Arial" w:cs="Arial" w:hAnsi="Arial"/>
          <w:b/>
          <w:bCs/>
          <w:lang w:val="ru-RU"/>
        </w:rPr>
      </w:pPr>
    </w:p>
    <w:p>
      <w:pPr>
        <w:ind w:left="60" w:right="68"/>
        <w:jc w:val="center"/>
        <w:rPr>
          <w:rFonts w:ascii="Arial" w:cs="Arial" w:hAnsi="Arial"/>
          <w:b/>
          <w:bCs/>
          <w:lang w:val="ru-RU"/>
        </w:rPr>
      </w:pPr>
      <w:r>
        <w:rPr>
          <w:rFonts w:ascii="Arial" w:cs="Arial" w:hAnsi="Arial"/>
          <w:b/>
          <w:bCs/>
          <w:lang w:val="ru-RU"/>
        </w:rPr>
        <w:t>Глэмпинг: будущее туризма или мимолетный тренд? Новое исследование от компании ФОК раскрывает все карты</w:t>
      </w:r>
    </w:p>
    <w:p>
      <w:pPr>
        <w:spacing w:after="160" w:line="259" w:lineRule="auto"/>
        <w:ind w:left="60" w:right="68"/>
        <w:jc w:val="center"/>
        <w:rPr>
          <w:rFonts w:ascii="Arial" w:cs="Arial" w:eastAsia="Calibri" w:hAnsi="Arial"/>
          <w:b/>
          <w:bCs/>
          <w:sz w:val="26"/>
          <w:szCs w:val="26"/>
          <w:lang w:eastAsia="en-US"/>
        </w:rPr>
      </w:pPr>
    </w:p>
    <w:p>
      <w:pPr>
        <w:spacing w:after="160" w:line="259" w:lineRule="auto"/>
        <w:ind w:left="60" w:right="68"/>
        <w:rPr>
          <w:rFonts w:ascii="Arial" w:cs="Arial" w:eastAsia="Calibri" w:hAnsi="Arial"/>
          <w:lang w:eastAsia="en-US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 xml:space="preserve">Компания “Финансовый и организационный консалтинг”, один из лидеров в области исследований и стратегического консалтинга, подготовила </w:t>
      </w:r>
      <w:r>
        <w:rPr>
          <w:rFonts w:ascii="Arial" w:cs="Arial" w:hAnsi="Arial"/>
          <w:b/>
          <w:bCs/>
          <w:lang w:val="ru-RU"/>
        </w:rPr>
        <w:t>исследование «Новые тренды туризма. “Глэмпинг” – новый тренд или уходящая иллюзия?»</w:t>
      </w:r>
      <w:r>
        <w:rPr>
          <w:rFonts w:ascii="Arial" w:cs="Arial" w:hAnsi="Arial"/>
          <w:lang w:val="ru-RU"/>
        </w:rPr>
        <w:t>. В рамках данной работы был проведен анализ перспектив развития глэмпинга, его привлекательность для разных сегментов туристов, а также ключевые факторы, влияющие на его популярность. Исследование ФОК основано на данных экспертных интервью и анализе рынка.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>Аналитиками укрупненно рассмотрена ситуация в мире и в России. Если тренд на развитие рынка глэмпингов наблюдается во всем мире давно, российский рынок считается относительно молодым по сравнению с мировым — его активное развитие наблюдается последние 7 лет. В 2024 году в стране насчитывалось уже более 700 глэмпингов.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>Для более детального изучения выбран рынок Подмосковья, т.к. Московская область — лидер среди всех областей в России как по количеству действующих средств размещения в категории “Глэмпинг”, так и по размеру потенциальной аудитории, что существенно влияет на развитие рынка услуг. Первый эшелон с точки зрения близости к центру Москвы глэмпингов, ориентированных на этот рынок потенциальных посетителей, расположен в Московской и прилегающих 7 областях в зоне 2-х часовой транспортной доступности от центра Москвы, что по мнению авторов работы является оптимальным временем для краткосрочной поездки, позволяющее дистанцироваться от привычной среды мегаполиса.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 xml:space="preserve">Результаты исследования показывают, что </w:t>
      </w:r>
      <w:r>
        <w:rPr>
          <w:rFonts w:ascii="Arial" w:cs="Arial" w:hAnsi="Arial"/>
          <w:b/>
          <w:bCs/>
          <w:lang w:val="ru-RU"/>
        </w:rPr>
        <w:t>интерес к глэмпингу в России растет, но остается нишевым сегментом</w:t>
      </w:r>
      <w:r>
        <w:rPr>
          <w:rFonts w:ascii="Arial" w:cs="Arial" w:hAnsi="Arial"/>
          <w:lang w:val="ru-RU"/>
        </w:rPr>
        <w:t xml:space="preserve">, т.к. высокая стоимость и ограниченная информированность потенциальных потребителей относительно данного формата туристического размещения затрудняет на данном этапе его массовое распространение и формирование устойчивого спроса. 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 xml:space="preserve">При этом </w:t>
      </w:r>
      <w:r>
        <w:rPr>
          <w:rFonts w:ascii="Arial" w:cs="Arial" w:hAnsi="Arial"/>
          <w:b/>
          <w:bCs/>
          <w:lang w:val="ru-RU"/>
        </w:rPr>
        <w:t>основными драйверами роста являются желание близости к природе и повышенный комфорт</w:t>
      </w:r>
      <w:r>
        <w:rPr>
          <w:rFonts w:ascii="Arial" w:cs="Arial" w:hAnsi="Arial"/>
          <w:lang w:val="ru-RU"/>
        </w:rPr>
        <w:t>. В современную эру урбанизации жители крупных городов ощущают информационную перегруженность и потребность в соприкосновении с природой, но не готовы жертвовать привычным уровнем бытового комфорта. Глэмпинги соответствуют данному запросу и вписываются в тренд на информационный детокс.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b/>
          <w:bCs/>
          <w:lang w:val="ru-RU"/>
        </w:rPr>
        <w:t>Среди основных барьеров аналитики выделили высокую стоимость и ограниченную доступность.</w:t>
      </w:r>
      <w:r>
        <w:rPr>
          <w:rFonts w:ascii="Arial" w:cs="Arial" w:hAnsi="Arial"/>
          <w:lang w:val="ru-RU"/>
        </w:rPr>
        <w:t xml:space="preserve"> “Глэмпинг — отдых для платежеспособной аудитории. Например, средняя стоимость размещения в глэмпинге Московской области на 1 сутки для пары составляет 6-18 тысяч рублей в зависимости от типа средства размещения. Цена обусловлена высокой стоимостью создания инфраструктуры, сложностью с поиском квалифицированного персонала и необходимостью инвестиций в маркетинг, в частности в детальную проработку концепции глэмпинга и четкое определение его потребительской ниши. Необходимость обусловлена усилением конкуренции и ростом требований со стороны целевой аудитории”, — сообщила руководитель проекта, старший консультант компании ФОК Валерия Сорокина.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b/>
          <w:bCs/>
          <w:lang w:val="ru-RU"/>
        </w:rPr>
        <w:t xml:space="preserve">Кроме того, по словам Валерии, наблюдается тенденция к укрупнению создаваемых объектов и усложнению разрабатываемой бизнес-модели. </w:t>
      </w:r>
      <w:r>
        <w:rPr>
          <w:rFonts w:ascii="Arial" w:cs="Arial" w:hAnsi="Arial"/>
          <w:lang w:val="ru-RU"/>
        </w:rPr>
        <w:t>На этапе зарождения отрасли в России глэмпинги в большинстве своем состояли из 1-2 модулей, а в настоящее время самый массовый сегмент это глэмпинги, включающие 5-10 модулей. Также наблюдается появление очень крупных проектов, количество модулей в которых превышает 30.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lang w:val="ru-RU"/>
        </w:rPr>
        <w:t xml:space="preserve">«Глэмпинг — это не просто мода, это новый этап в эволюции туризма. В настоящее время в обществе также существует запрос на знакомство с культурой и особенностями регионов, погружение в самобытность и уникальность, гостей не привлекает перспектива посещения однотипных среднестатистических объектов. В России государство активно поддерживает развитие рынка некапитальных средств размещения с помощью механизмов субсидий в рамках нацпроекта “Туризм и гостеприимство”, стимулируя появление новых туристических мест по всей стране и развитие рынка сопутствующих услуг”», – комментирует </w:t>
      </w:r>
      <w:r>
        <w:rPr>
          <w:rFonts w:ascii="Arial" w:cs="Arial" w:hAnsi="Arial"/>
          <w:b/>
          <w:bCs/>
          <w:lang w:val="ru-RU"/>
        </w:rPr>
        <w:t>Валерия Сорокина</w:t>
      </w:r>
      <w:r>
        <w:rPr>
          <w:rFonts w:ascii="Arial" w:cs="Arial" w:hAnsi="Arial"/>
          <w:lang w:val="ru-RU"/>
        </w:rPr>
        <w:t>.</w:t>
      </w: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  <w:lang w:val="ru-RU"/>
        </w:rPr>
      </w:pPr>
    </w:p>
    <w:p>
      <w:pPr>
        <w:ind w:left="60" w:right="68"/>
        <w:rPr>
          <w:rFonts w:ascii="Arial" w:cs="Arial" w:hAnsi="Arial"/>
        </w:rPr>
      </w:pPr>
      <w:r>
        <w:rPr>
          <w:rFonts w:ascii="Arial" w:cs="Arial" w:hAnsi="Arial"/>
          <w:b/>
          <w:bCs/>
          <w:lang w:val="ru-RU"/>
        </w:rPr>
        <w:t xml:space="preserve">Полный текст исследования доступен по ссылке: </w:t>
      </w:r>
      <w:r>
        <w:fldChar w:fldCharType="begin"/>
      </w:r>
      <w:r>
        <w:instrText xml:space="preserve">HYPERLINK "https://www.foconsult.ru/wp-content/uploads/2025/07/itog_issledovanie.pdf"</w:instrText>
      </w:r>
      <w:r>
        <w:fldChar w:fldCharType="separate"/>
      </w:r>
      <w:r>
        <w:rPr>
          <w:rStyle w:val="Hyperlink"/>
          <w:rFonts w:ascii="Arial" w:cs="Arial" w:hAnsi="Arial"/>
          <w:lang w:val="ru-RU"/>
        </w:rPr>
        <w:t>https://www.foconsult.ru/wp-content/uploads/2025/07/itog_issledovanie.pdf</w:t>
      </w:r>
      <w:r>
        <w:fldChar w:fldCharType="end"/>
      </w:r>
      <w:r>
        <w:rPr>
          <w:rFonts w:ascii="Arial" w:cs="Arial" w:hAnsi="Arial"/>
          <w:lang w:val="ru-RU"/>
        </w:rPr>
        <w:t xml:space="preserve"> </w:t>
      </w:r>
    </w:p>
    <w:p>
      <w:pPr>
        <w:spacing w:before="120" w:line="300" w:lineRule="exact"/>
        <w:ind w:left="60" w:right="68"/>
        <w:jc w:val="both"/>
        <w:rPr/>
      </w:pPr>
    </w:p>
    <w:p>
      <w:pPr>
        <w:spacing w:before="120" w:line="300" w:lineRule="exact"/>
        <w:ind w:left="60" w:right="68"/>
        <w:jc w:val="both"/>
        <w:rPr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Контакты: Ирина Мальцева, 89035777252, </w:t>
      </w:r>
      <w:r>
        <w:fldChar w:fldCharType="begin"/>
      </w:r>
      <w:r>
        <w:instrText xml:space="preserve">HYPERLINK "mailto:maltseva@foconsult.ru"</w:instrText>
      </w:r>
      <w:r>
        <w:fldChar w:fldCharType="separate"/>
      </w:r>
      <w:r>
        <w:rPr>
          <w:rStyle w:val="Hyperlink"/>
          <w:rFonts w:ascii="Arial" w:cs="Arial" w:hAnsi="Arial"/>
          <w:sz w:val="22"/>
          <w:szCs w:val="22"/>
          <w:lang w:val="en-US"/>
        </w:rPr>
        <w:t>maltseva@foconsult.ru</w:t>
      </w:r>
      <w:r>
        <w:fldChar w:fldCharType="end"/>
      </w:r>
      <w:r>
        <w:rPr>
          <w:rFonts w:ascii="Arial" w:cs="Arial" w:hAnsi="Arial"/>
          <w:sz w:val="22"/>
          <w:szCs w:val="22"/>
          <w:lang w:val="en-US"/>
        </w:rPr>
        <w:t xml:space="preserve"> </w:t>
      </w:r>
    </w:p>
    <w:sectPr>
      <w:footerReference w:type="default" r:id="rId23"/>
      <w:pgSz w:w="11906" w:h="16838"/>
      <w:pgMar w:top="993" w:right="567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  <w:endnote w:type="continuationNotice" w:id="2">
    <w:p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(WT)">
    <w:altName w:val="Arial"/>
    <w:panose1 w:val="00000000000000000000"/>
    <w:charset w:val="a2"/>
    <w:family w:val="swiss"/>
    <w:notTrueType w:val="on"/>
    <w:pitch w:val="variable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  <w:footnote w:type="continuationNotice" w:id="2">
    <w:p/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numFmt w:val="bullet"/>
      <w:lvlText w:val="*"/>
      <w:lvlJc w:val="left"/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multiLevelType w:val="multilevel"/>
    <w:lvl w:ilvl="0" w:tentative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 w:tentative="0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0">
      <w:start w:val="1"/>
      <w:numFmt w:val="decimal"/>
      <w:isLgl w:val="on"/>
      <w:lvlText w:val="%1.%2."/>
      <w:lvlJc w:val="left"/>
      <w:pPr>
        <w:ind w:left="1519" w:hanging="450"/>
      </w:pPr>
      <w:rPr>
        <w:rFonts w:cs="Times New Roman"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2149" w:hanging="720"/>
      </w:pPr>
      <w:rPr>
        <w:rFonts w:cs="Times New Roman"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2509" w:hanging="720"/>
      </w:pPr>
      <w:rPr>
        <w:rFonts w:cs="Times New Roman"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3229" w:hanging="1080"/>
      </w:pPr>
      <w:rPr>
        <w:rFonts w:cs="Times New Roman"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3589" w:hanging="1080"/>
      </w:pPr>
      <w:rPr>
        <w:rFonts w:cs="Times New Roman"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2">
    <w:multiLevelType w:val="multilevel"/>
    <w:lvl w:ilvl="0" w:tentative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89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3">
    <w:multiLevelType w:val="hybridMultilevel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 w:tentative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0">
      <w:start w:val="1"/>
      <w:numFmt w:val="decimal"/>
      <w:isLgl w:val="on"/>
      <w:lvlText w:val="%1.%2."/>
      <w:lvlJc w:val="left"/>
      <w:pPr>
        <w:ind w:left="1519" w:hanging="450"/>
      </w:pPr>
      <w:rPr>
        <w:rFonts w:cs="Times New Roman"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2149" w:hanging="720"/>
      </w:pPr>
      <w:rPr>
        <w:rFonts w:cs="Times New Roman"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2509" w:hanging="720"/>
      </w:pPr>
      <w:rPr>
        <w:rFonts w:cs="Times New Roman"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3229" w:hanging="1080"/>
      </w:pPr>
      <w:rPr>
        <w:rFonts w:cs="Times New Roman"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3589" w:hanging="1080"/>
      </w:pPr>
      <w:rPr>
        <w:rFonts w:cs="Times New Roman"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7">
    <w:multiLevelType w:val="hybridMultilevel"/>
    <w:lvl w:ilvl="0" w:tentative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 w:tentative="0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8"/>
      <w:numFmt w:val="decimal"/>
      <w:lvlText w:val="%1. 1"/>
      <w:lvlJc w:val="left"/>
      <w:pPr>
        <w:ind w:left="16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 w:tentative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 w:tentative="0">
      <w:start w:val="1"/>
      <w:numFmt w:val="bullet"/>
      <w:lvlText w:val="-"/>
      <w:lvlJc w:val="left"/>
      <w:pPr>
        <w:ind w:left="1778" w:hanging="360"/>
      </w:pPr>
      <w:rPr>
        <w:rFonts w:ascii="Tahoma" w:hAnsi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entative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8"/>
      <w:numFmt w:val="decimal"/>
      <w:lvlText w:val="%1. 1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multilevel"/>
    <w:lvl w:ilvl="0" w:tentative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89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8">
    <w:multiLevelType w:val="hybridMultilevel"/>
    <w:lvl w:ilvl="0" w:tentative="0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multiLevelType w:val="multilevel"/>
    <w:lvl w:ilvl="0" w:tentative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10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1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multiLevelType w:val="hybridMultilevel"/>
    <w:lvl w:ilvl="0" w:tentative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entative="0">
      <w:start w:val="1"/>
      <w:numFmt w:val="bullet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3"/>
  </w:num>
  <w:num w:numId="4">
    <w:abstractNumId w:val="15"/>
  </w:num>
  <w:num w:numId="5">
    <w:abstractNumId w:val="3"/>
  </w:num>
  <w:num w:numId="6">
    <w:abstractNumId w:val="10"/>
  </w:num>
  <w:num w:numId="7">
    <w:abstractNumId w:val="27"/>
  </w:num>
  <w:num w:numId="8">
    <w:abstractNumId w:val="6"/>
  </w:num>
  <w:num w:numId="9">
    <w:abstractNumId w:val="30"/>
  </w:num>
  <w:num w:numId="10">
    <w:abstractNumId w:val="12"/>
  </w:num>
  <w:num w:numId="11">
    <w:abstractNumId w:val="17"/>
  </w:num>
  <w:num w:numId="12">
    <w:abstractNumId w:val="19"/>
  </w:num>
  <w:num w:numId="13">
    <w:abstractNumId w:val="26"/>
  </w:num>
  <w:num w:numId="14">
    <w:abstractNumId w:val="5"/>
  </w:num>
  <w:num w:numId="15">
    <w:abstractNumId w:val="23"/>
  </w:num>
  <w:num w:numId="16">
    <w:abstractNumId w:val="13"/>
  </w:num>
  <w:num w:numId="17">
    <w:abstractNumId w:val="8"/>
  </w:num>
  <w:num w:numId="18">
    <w:abstractNumId w:val="0"/>
    <w:lvlOverride w:ilvl="0">
      <w:lvl w:ilvl="0" w:tentative="0">
        <w:start w:val="65535"/>
        <w:numFmt w:val="bullet"/>
        <w:lvlText w:val="-"/>
        <w:lvlJc w:val="left"/>
        <w:rPr>
          <w:rFonts w:ascii="Times New Roman" w:cs="Times New Roman" w:hAnsi="Times New Roman" w:hint="default"/>
        </w:rPr>
      </w:lvl>
    </w:lvlOverride>
  </w:num>
  <w:num w:numId="19">
    <w:abstractNumId w:val="22"/>
  </w:num>
  <w:num w:numId="20">
    <w:abstractNumId w:val="28"/>
  </w:num>
  <w:num w:numId="21">
    <w:abstractNumId w:val="20"/>
  </w:num>
  <w:num w:numId="22">
    <w:abstractNumId w:val="4"/>
  </w:num>
  <w:num w:numId="23">
    <w:abstractNumId w:val="34"/>
  </w:num>
  <w:num w:numId="24">
    <w:abstractNumId w:val="25"/>
  </w:num>
  <w:num w:numId="25">
    <w:abstractNumId w:val="31"/>
  </w:num>
  <w:num w:numId="26">
    <w:abstractNumId w:val="32"/>
  </w:num>
  <w:num w:numId="27">
    <w:abstractNumId w:val="9"/>
  </w:num>
  <w:num w:numId="28">
    <w:abstractNumId w:val="16"/>
  </w:num>
  <w:num w:numId="29">
    <w:abstractNumId w:val="7"/>
  </w:num>
  <w:num w:numId="30">
    <w:abstractNumId w:val="11"/>
  </w:num>
  <w:num w:numId="31">
    <w:abstractNumId w:val="35"/>
  </w:num>
  <w:num w:numId="32">
    <w:abstractNumId w:val="21"/>
  </w:num>
  <w:num w:numId="33">
    <w:abstractNumId w:val="14"/>
  </w:num>
  <w:num w:numId="34">
    <w:abstractNumId w:val="1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FE"/>
    <w:rsid w:val="00003432"/>
    <w:rsid w:val="0000450A"/>
    <w:rsid w:val="00004FDA"/>
    <w:rsid w:val="0002344C"/>
    <w:rsid w:val="000264DA"/>
    <w:rsid w:val="00026DCD"/>
    <w:rsid w:val="00030A59"/>
    <w:rsid w:val="00037D9F"/>
    <w:rsid w:val="00043E4C"/>
    <w:rsid w:val="000467D5"/>
    <w:rsid w:val="000722F3"/>
    <w:rsid w:val="00082C24"/>
    <w:rsid w:val="0008349B"/>
    <w:rsid w:val="0008772E"/>
    <w:rsid w:val="00091F8A"/>
    <w:rsid w:val="00093CF6"/>
    <w:rsid w:val="000A6F25"/>
    <w:rsid w:val="000B46A8"/>
    <w:rsid w:val="000F2019"/>
    <w:rsid w:val="000F457D"/>
    <w:rsid w:val="001007EC"/>
    <w:rsid w:val="001130C5"/>
    <w:rsid w:val="00133C92"/>
    <w:rsid w:val="00137097"/>
    <w:rsid w:val="00142EFC"/>
    <w:rsid w:val="00151294"/>
    <w:rsid w:val="00151B52"/>
    <w:rsid w:val="00160C57"/>
    <w:rsid w:val="00162120"/>
    <w:rsid w:val="0016349F"/>
    <w:rsid w:val="00165919"/>
    <w:rsid w:val="00174880"/>
    <w:rsid w:val="0017630C"/>
    <w:rsid w:val="00176990"/>
    <w:rsid w:val="00177CF6"/>
    <w:rsid w:val="001831CF"/>
    <w:rsid w:val="00193CDC"/>
    <w:rsid w:val="00193D00"/>
    <w:rsid w:val="001960A3"/>
    <w:rsid w:val="00197289"/>
    <w:rsid w:val="001A3034"/>
    <w:rsid w:val="001A30F5"/>
    <w:rsid w:val="001A4712"/>
    <w:rsid w:val="001A534E"/>
    <w:rsid w:val="001C6113"/>
    <w:rsid w:val="001D00A1"/>
    <w:rsid w:val="001F0265"/>
    <w:rsid w:val="001F05A3"/>
    <w:rsid w:val="002041A7"/>
    <w:rsid w:val="00204993"/>
    <w:rsid w:val="002058E5"/>
    <w:rsid w:val="00210341"/>
    <w:rsid w:val="002220BC"/>
    <w:rsid w:val="00224560"/>
    <w:rsid w:val="002353B7"/>
    <w:rsid w:val="002501DA"/>
    <w:rsid w:val="002777E2"/>
    <w:rsid w:val="0028146B"/>
    <w:rsid w:val="00284E06"/>
    <w:rsid w:val="002924B1"/>
    <w:rsid w:val="0029366F"/>
    <w:rsid w:val="0029631C"/>
    <w:rsid w:val="002A0284"/>
    <w:rsid w:val="002A045A"/>
    <w:rsid w:val="002A15B8"/>
    <w:rsid w:val="002A5168"/>
    <w:rsid w:val="002A59B5"/>
    <w:rsid w:val="002A6F7C"/>
    <w:rsid w:val="002B48A4"/>
    <w:rsid w:val="002B5266"/>
    <w:rsid w:val="002B6048"/>
    <w:rsid w:val="002C0BAE"/>
    <w:rsid w:val="002C1426"/>
    <w:rsid w:val="002C346E"/>
    <w:rsid w:val="002D6433"/>
    <w:rsid w:val="002D6A8F"/>
    <w:rsid w:val="002E5D0A"/>
    <w:rsid w:val="002E7E94"/>
    <w:rsid w:val="002F1AF6"/>
    <w:rsid w:val="00300A5B"/>
    <w:rsid w:val="003010B0"/>
    <w:rsid w:val="003034C3"/>
    <w:rsid w:val="00303BEF"/>
    <w:rsid w:val="00307A7E"/>
    <w:rsid w:val="003102F7"/>
    <w:rsid w:val="00333290"/>
    <w:rsid w:val="00333C0A"/>
    <w:rsid w:val="00337D8F"/>
    <w:rsid w:val="00337E3A"/>
    <w:rsid w:val="0034185F"/>
    <w:rsid w:val="00345BEF"/>
    <w:rsid w:val="00346E17"/>
    <w:rsid w:val="00347BF7"/>
    <w:rsid w:val="003512EE"/>
    <w:rsid w:val="00366E9D"/>
    <w:rsid w:val="00370CDB"/>
    <w:rsid w:val="00372AEA"/>
    <w:rsid w:val="0037533C"/>
    <w:rsid w:val="00376021"/>
    <w:rsid w:val="00382939"/>
    <w:rsid w:val="00384347"/>
    <w:rsid w:val="003A15AF"/>
    <w:rsid w:val="003A6D06"/>
    <w:rsid w:val="003C54C3"/>
    <w:rsid w:val="003C54C7"/>
    <w:rsid w:val="003C60A6"/>
    <w:rsid w:val="003D445E"/>
    <w:rsid w:val="003D53EA"/>
    <w:rsid w:val="003E3701"/>
    <w:rsid w:val="003E6029"/>
    <w:rsid w:val="003F363C"/>
    <w:rsid w:val="00407B36"/>
    <w:rsid w:val="00430C10"/>
    <w:rsid w:val="00431CDA"/>
    <w:rsid w:val="00435658"/>
    <w:rsid w:val="0043748B"/>
    <w:rsid w:val="004538E5"/>
    <w:rsid w:val="00456D83"/>
    <w:rsid w:val="00457B6A"/>
    <w:rsid w:val="004743DB"/>
    <w:rsid w:val="00477D8D"/>
    <w:rsid w:val="004873BF"/>
    <w:rsid w:val="00494BB7"/>
    <w:rsid w:val="004A07D0"/>
    <w:rsid w:val="004A35FF"/>
    <w:rsid w:val="004A428B"/>
    <w:rsid w:val="004B7EE6"/>
    <w:rsid w:val="004C09A8"/>
    <w:rsid w:val="004D11AA"/>
    <w:rsid w:val="004D5F1E"/>
    <w:rsid w:val="004E08C0"/>
    <w:rsid w:val="004E25A9"/>
    <w:rsid w:val="004F3012"/>
    <w:rsid w:val="004F530B"/>
    <w:rsid w:val="0050001C"/>
    <w:rsid w:val="0051170D"/>
    <w:rsid w:val="005171FE"/>
    <w:rsid w:val="00523ECD"/>
    <w:rsid w:val="00527E9A"/>
    <w:rsid w:val="00540A1F"/>
    <w:rsid w:val="0054379F"/>
    <w:rsid w:val="005604D5"/>
    <w:rsid w:val="00560A6A"/>
    <w:rsid w:val="00576A3D"/>
    <w:rsid w:val="00587877"/>
    <w:rsid w:val="00592475"/>
    <w:rsid w:val="005A6302"/>
    <w:rsid w:val="005A7821"/>
    <w:rsid w:val="005B183C"/>
    <w:rsid w:val="005B1BD3"/>
    <w:rsid w:val="005C085C"/>
    <w:rsid w:val="005C4AE7"/>
    <w:rsid w:val="005C5550"/>
    <w:rsid w:val="005C7195"/>
    <w:rsid w:val="005D2CA1"/>
    <w:rsid w:val="005D7BA5"/>
    <w:rsid w:val="005E0A37"/>
    <w:rsid w:val="005E0FB9"/>
    <w:rsid w:val="005E20FC"/>
    <w:rsid w:val="005E2400"/>
    <w:rsid w:val="005E4374"/>
    <w:rsid w:val="005F3014"/>
    <w:rsid w:val="005F68FC"/>
    <w:rsid w:val="00606CA8"/>
    <w:rsid w:val="00610897"/>
    <w:rsid w:val="00610C7A"/>
    <w:rsid w:val="00614FDE"/>
    <w:rsid w:val="006216FE"/>
    <w:rsid w:val="00626698"/>
    <w:rsid w:val="006272BE"/>
    <w:rsid w:val="00652C33"/>
    <w:rsid w:val="00656240"/>
    <w:rsid w:val="0066017A"/>
    <w:rsid w:val="00660EB0"/>
    <w:rsid w:val="00661CDF"/>
    <w:rsid w:val="0066282A"/>
    <w:rsid w:val="00662EEB"/>
    <w:rsid w:val="00666A3C"/>
    <w:rsid w:val="00670E1A"/>
    <w:rsid w:val="00672AFF"/>
    <w:rsid w:val="00676DF8"/>
    <w:rsid w:val="00682407"/>
    <w:rsid w:val="006973F3"/>
    <w:rsid w:val="006A1EC8"/>
    <w:rsid w:val="006A2DCC"/>
    <w:rsid w:val="006B536A"/>
    <w:rsid w:val="006B7160"/>
    <w:rsid w:val="006D5F88"/>
    <w:rsid w:val="006E34C1"/>
    <w:rsid w:val="006E356B"/>
    <w:rsid w:val="006F50DE"/>
    <w:rsid w:val="006F6EAA"/>
    <w:rsid w:val="006F7100"/>
    <w:rsid w:val="006F71A9"/>
    <w:rsid w:val="00705F2F"/>
    <w:rsid w:val="00706D81"/>
    <w:rsid w:val="00710C9F"/>
    <w:rsid w:val="00710EAF"/>
    <w:rsid w:val="007166FE"/>
    <w:rsid w:val="00717787"/>
    <w:rsid w:val="0072191C"/>
    <w:rsid w:val="00722BB6"/>
    <w:rsid w:val="00723000"/>
    <w:rsid w:val="00731F60"/>
    <w:rsid w:val="007343F5"/>
    <w:rsid w:val="00747064"/>
    <w:rsid w:val="00750952"/>
    <w:rsid w:val="00751755"/>
    <w:rsid w:val="00755428"/>
    <w:rsid w:val="00755FFE"/>
    <w:rsid w:val="00781CEC"/>
    <w:rsid w:val="00786817"/>
    <w:rsid w:val="0079342F"/>
    <w:rsid w:val="007C0AAD"/>
    <w:rsid w:val="007C5DAD"/>
    <w:rsid w:val="007D56C4"/>
    <w:rsid w:val="007F17AE"/>
    <w:rsid w:val="007F4970"/>
    <w:rsid w:val="00805543"/>
    <w:rsid w:val="00806D99"/>
    <w:rsid w:val="00806E56"/>
    <w:rsid w:val="008128BF"/>
    <w:rsid w:val="00815528"/>
    <w:rsid w:val="00822DD3"/>
    <w:rsid w:val="008271EA"/>
    <w:rsid w:val="00832B68"/>
    <w:rsid w:val="00837C7F"/>
    <w:rsid w:val="00842F85"/>
    <w:rsid w:val="00843189"/>
    <w:rsid w:val="00845663"/>
    <w:rsid w:val="008521B7"/>
    <w:rsid w:val="00855CD4"/>
    <w:rsid w:val="00856086"/>
    <w:rsid w:val="008620F0"/>
    <w:rsid w:val="008808A3"/>
    <w:rsid w:val="0088178B"/>
    <w:rsid w:val="00882E4D"/>
    <w:rsid w:val="00883DF0"/>
    <w:rsid w:val="00885E09"/>
    <w:rsid w:val="00886112"/>
    <w:rsid w:val="00886F3C"/>
    <w:rsid w:val="008935A9"/>
    <w:rsid w:val="008B2352"/>
    <w:rsid w:val="008B4A58"/>
    <w:rsid w:val="008C05A8"/>
    <w:rsid w:val="008C4EFB"/>
    <w:rsid w:val="008D358B"/>
    <w:rsid w:val="008E5DC5"/>
    <w:rsid w:val="008F1578"/>
    <w:rsid w:val="008F7F97"/>
    <w:rsid w:val="0090379D"/>
    <w:rsid w:val="00910071"/>
    <w:rsid w:val="009157FC"/>
    <w:rsid w:val="0092317D"/>
    <w:rsid w:val="00925882"/>
    <w:rsid w:val="00927897"/>
    <w:rsid w:val="0093445B"/>
    <w:rsid w:val="00934858"/>
    <w:rsid w:val="00943AF5"/>
    <w:rsid w:val="00955D73"/>
    <w:rsid w:val="00962ABC"/>
    <w:rsid w:val="00971759"/>
    <w:rsid w:val="0098350A"/>
    <w:rsid w:val="009837E7"/>
    <w:rsid w:val="009C64AC"/>
    <w:rsid w:val="009F51DF"/>
    <w:rsid w:val="009F6F64"/>
    <w:rsid w:val="00A02221"/>
    <w:rsid w:val="00A02C0C"/>
    <w:rsid w:val="00A07CC5"/>
    <w:rsid w:val="00A11AAB"/>
    <w:rsid w:val="00A14245"/>
    <w:rsid w:val="00A16548"/>
    <w:rsid w:val="00A24F5E"/>
    <w:rsid w:val="00A2503D"/>
    <w:rsid w:val="00A26D60"/>
    <w:rsid w:val="00A27CD3"/>
    <w:rsid w:val="00A34083"/>
    <w:rsid w:val="00A346EE"/>
    <w:rsid w:val="00A378AC"/>
    <w:rsid w:val="00A5534C"/>
    <w:rsid w:val="00A5646D"/>
    <w:rsid w:val="00A572FF"/>
    <w:rsid w:val="00A729AE"/>
    <w:rsid w:val="00A74168"/>
    <w:rsid w:val="00A80232"/>
    <w:rsid w:val="00A8446A"/>
    <w:rsid w:val="00A94040"/>
    <w:rsid w:val="00A96C1C"/>
    <w:rsid w:val="00A96E50"/>
    <w:rsid w:val="00AA0729"/>
    <w:rsid w:val="00AB05F2"/>
    <w:rsid w:val="00AB1C76"/>
    <w:rsid w:val="00AB4594"/>
    <w:rsid w:val="00AB696E"/>
    <w:rsid w:val="00AB72E0"/>
    <w:rsid w:val="00AC2F94"/>
    <w:rsid w:val="00AD20EF"/>
    <w:rsid w:val="00AE7794"/>
    <w:rsid w:val="00AF28D8"/>
    <w:rsid w:val="00B0703C"/>
    <w:rsid w:val="00B07296"/>
    <w:rsid w:val="00B14745"/>
    <w:rsid w:val="00B149D9"/>
    <w:rsid w:val="00B257F8"/>
    <w:rsid w:val="00B27687"/>
    <w:rsid w:val="00B30897"/>
    <w:rsid w:val="00B36EC5"/>
    <w:rsid w:val="00B37AA3"/>
    <w:rsid w:val="00B41592"/>
    <w:rsid w:val="00B42E04"/>
    <w:rsid w:val="00B50BA1"/>
    <w:rsid w:val="00B52C23"/>
    <w:rsid w:val="00B52C80"/>
    <w:rsid w:val="00B6092C"/>
    <w:rsid w:val="00B6244B"/>
    <w:rsid w:val="00B7026A"/>
    <w:rsid w:val="00B73359"/>
    <w:rsid w:val="00B809D0"/>
    <w:rsid w:val="00B84410"/>
    <w:rsid w:val="00B9166F"/>
    <w:rsid w:val="00B93481"/>
    <w:rsid w:val="00BA3F69"/>
    <w:rsid w:val="00BA4708"/>
    <w:rsid w:val="00BC1C5B"/>
    <w:rsid w:val="00BC6592"/>
    <w:rsid w:val="00BD0B04"/>
    <w:rsid w:val="00BE2A8A"/>
    <w:rsid w:val="00BE3100"/>
    <w:rsid w:val="00BE335F"/>
    <w:rsid w:val="00BE79E4"/>
    <w:rsid w:val="00BF3FDB"/>
    <w:rsid w:val="00BF7278"/>
    <w:rsid w:val="00C02AC6"/>
    <w:rsid w:val="00C0536C"/>
    <w:rsid w:val="00C10CA6"/>
    <w:rsid w:val="00C13756"/>
    <w:rsid w:val="00C15C1C"/>
    <w:rsid w:val="00C23880"/>
    <w:rsid w:val="00C3202F"/>
    <w:rsid w:val="00C32ABE"/>
    <w:rsid w:val="00C36480"/>
    <w:rsid w:val="00C431A8"/>
    <w:rsid w:val="00C53F06"/>
    <w:rsid w:val="00C5597A"/>
    <w:rsid w:val="00C63EA9"/>
    <w:rsid w:val="00C66AEB"/>
    <w:rsid w:val="00C72EDA"/>
    <w:rsid w:val="00C801AC"/>
    <w:rsid w:val="00C81E98"/>
    <w:rsid w:val="00C823F6"/>
    <w:rsid w:val="00C83AEE"/>
    <w:rsid w:val="00C856E5"/>
    <w:rsid w:val="00C94CAC"/>
    <w:rsid w:val="00CA2A1F"/>
    <w:rsid w:val="00CA30CD"/>
    <w:rsid w:val="00CB0A8D"/>
    <w:rsid w:val="00CB43F0"/>
    <w:rsid w:val="00CC2605"/>
    <w:rsid w:val="00CC2E8F"/>
    <w:rsid w:val="00CE4FA9"/>
    <w:rsid w:val="00D01B8A"/>
    <w:rsid w:val="00D06A4B"/>
    <w:rsid w:val="00D20D7C"/>
    <w:rsid w:val="00D25ABC"/>
    <w:rsid w:val="00D4458F"/>
    <w:rsid w:val="00D50D17"/>
    <w:rsid w:val="00D51803"/>
    <w:rsid w:val="00D53C17"/>
    <w:rsid w:val="00D72BFC"/>
    <w:rsid w:val="00D77803"/>
    <w:rsid w:val="00D77FAD"/>
    <w:rsid w:val="00D8391E"/>
    <w:rsid w:val="00DA58BD"/>
    <w:rsid w:val="00DB1C5C"/>
    <w:rsid w:val="00DC0B48"/>
    <w:rsid w:val="00DC63C6"/>
    <w:rsid w:val="00DE05FC"/>
    <w:rsid w:val="00DF7AFE"/>
    <w:rsid w:val="00DF7FC3"/>
    <w:rsid w:val="00E0280D"/>
    <w:rsid w:val="00E04BA7"/>
    <w:rsid w:val="00E11FE7"/>
    <w:rsid w:val="00E322EB"/>
    <w:rsid w:val="00E37D8F"/>
    <w:rsid w:val="00E45090"/>
    <w:rsid w:val="00E6163B"/>
    <w:rsid w:val="00E97318"/>
    <w:rsid w:val="00EA25A7"/>
    <w:rsid w:val="00EA2943"/>
    <w:rsid w:val="00EA5E9D"/>
    <w:rsid w:val="00EC1B09"/>
    <w:rsid w:val="00EC439B"/>
    <w:rsid w:val="00EF3769"/>
    <w:rsid w:val="00F0068D"/>
    <w:rsid w:val="00F036AE"/>
    <w:rsid w:val="00F03C81"/>
    <w:rsid w:val="00F07234"/>
    <w:rsid w:val="00F12188"/>
    <w:rsid w:val="00F2257E"/>
    <w:rsid w:val="00F22B61"/>
    <w:rsid w:val="00F23358"/>
    <w:rsid w:val="00F40AE1"/>
    <w:rsid w:val="00F54EF4"/>
    <w:rsid w:val="00F737D3"/>
    <w:rsid w:val="00F758D3"/>
    <w:rsid w:val="00F8002A"/>
    <w:rsid w:val="00F857AB"/>
    <w:rsid w:val="00F957EB"/>
    <w:rsid w:val="00F95E9B"/>
    <w:rsid w:val="00F97363"/>
    <w:rsid w:val="00FA3E63"/>
    <w:rsid w:val="00FB7AD3"/>
    <w:rsid w:val="00FC647B"/>
    <w:rsid w:val="00FD0AEF"/>
    <w:rsid w:val="00FD6921"/>
    <w:rsid w:val="00FE098B"/>
    <w:rsid w:val="00FE0F41"/>
    <w:rsid w:val="00FE37B7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887CD"/>
  <w15:docId w15:val="{03D5BA3A-C297-42AD-9122-A6DFBF252B31}"/>
  <w:footnotePr>
    <w:footnote w:id="0"/>
    <w:footnote w:id="1"/>
    <w:footnote w:id="2"/>
  </w:footnotePr>
  <w:endnotePr>
    <w:endnote w:id="0"/>
    <w:endnote w:id="1"/>
    <w:endnote w:id="2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Таблицатекст">
    <w:name w:val="Таблица текст"/>
    <w:basedOn w:val="Normal"/>
    <w:link w:val="ТаблицатекстЗнак"/>
    <w:uiPriority w:val="99"/>
    <w:pPr>
      <w:jc w:val="center"/>
    </w:pPr>
    <w:rPr>
      <w:rFonts w:ascii="Tahoma" w:cs="Tahoma" w:hAnsi="Tahoma"/>
      <w:spacing w:val="-5"/>
      <w:sz w:val="18"/>
    </w:rPr>
  </w:style>
  <w:style w:type="character" w:customStyle="1" w:styleId="ТаблицатекстЗнак">
    <w:name w:val="Таблица текст Знак"/>
    <w:link w:val="Таблицатекст"/>
    <w:uiPriority w:val="99"/>
    <w:rPr>
      <w:rFonts w:ascii="Tahoma" w:cs="Tahoma" w:hAnsi="Tahoma"/>
      <w:spacing w:val="-5"/>
      <w:sz w:val="18"/>
      <w:szCs w:val="24"/>
      <w:lang w:val="ru-RU" w:bidi="ar-SA" w:eastAsia="ru-RU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/>
  </w:style>
  <w:style w:type="character" w:customStyle="1" w:styleId="ВерхнийколонтитулЗнак">
    <w:name w:val="Верхний колонтитул Знак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link w:val="Footer"/>
    <w:uiPriority w:val="99"/>
    <w:rPr>
      <w:sz w:val="24"/>
      <w:szCs w:val="24"/>
    </w:rPr>
  </w:style>
  <w:style w:type="paragraph" w:styleId="Normal(Web)">
    <w:name w:val="Normal (Web)"/>
    <w:basedOn w:val="Normal"/>
    <w:uiPriority w:val="99"/>
    <w:unhideWhenUsed w:val="on"/>
    <w:pPr>
      <w:spacing w:before="100" w:after="100"/>
    </w:pPr>
  </w:style>
  <w:style w:type="character" w:customStyle="1" w:styleId="Заголовок1Знак">
    <w:name w:val="Заголовок 1 Знак"/>
    <w:link w:val="Heading1"/>
    <w:uiPriority w:val="9"/>
    <w:rPr>
      <w:b/>
      <w:bCs/>
      <w:sz w:val="48"/>
      <w:szCs w:val="48"/>
    </w:rPr>
  </w:style>
  <w:style w:type="paragraph" w:styleId="Subtitle">
    <w:name w:val="Subtitle"/>
    <w:basedOn w:val="Normal"/>
    <w:next w:val="Normal"/>
    <w:link w:val="ПодзаголовокЗнак"/>
    <w:uiPriority w:val="99"/>
    <w:qFormat w:val="on"/>
    <w:pPr>
      <w:spacing w:after="60"/>
      <w:jc w:val="center"/>
    </w:pPr>
    <w:rPr>
      <w:rFonts w:ascii="Cambria" w:hAnsi="Cambria"/>
    </w:rPr>
  </w:style>
  <w:style w:type="character" w:customStyle="1" w:styleId="ПодзаголовокЗнак">
    <w:name w:val="Подзаголовок Знак"/>
    <w:link w:val="Subtitle"/>
    <w:uiPriority w:val="99"/>
    <w:rPr>
      <w:rFonts w:ascii="Cambria" w:cs="Times New Roman" w:eastAsia="Times New Roman" w:hAnsi="Cambria"/>
      <w:sz w:val="24"/>
      <w:szCs w:val="24"/>
    </w:rPr>
  </w:style>
  <w:style w:type="paragraph" w:customStyle="1" w:styleId="Название1">
    <w:name w:val="Название1"/>
    <w:basedOn w:val="Normal"/>
    <w:next w:val="Normal"/>
    <w:link w:val="НазваниеЗнак"/>
    <w:uiPriority w:val="99"/>
    <w:qFormat w:val="on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НазваниеЗнак">
    <w:name w:val="Название Знак"/>
    <w:link w:val="Название1"/>
    <w:uiPriority w:val="99"/>
    <w:rPr>
      <w:rFonts w:ascii="Cambria" w:cs="Times New Roman" w:eastAsia="Times New Roman" w:hAnsi="Cambria"/>
      <w:b/>
      <w:bCs/>
      <w:sz w:val="32"/>
      <w:szCs w:val="32"/>
    </w:rPr>
  </w:style>
  <w:style w:type="character" w:styleId="Strong">
    <w:name w:val="Strong"/>
    <w:uiPriority w:val="99"/>
    <w:qFormat w:val="on"/>
    <w:rPr>
      <w:b/>
      <w:bCs/>
    </w:rPr>
  </w:style>
  <w:style w:type="paragraph" w:styleId="NoSpacing">
    <w:name w:val="No Spacing"/>
    <w:uiPriority w:val="1"/>
    <w:qFormat w:val="on"/>
    <w:rPr>
      <w:sz w:val="24"/>
      <w:szCs w:val="24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styleId="Emphasis">
    <w:name w:val="Emphasis"/>
    <w:uiPriority w:val="99"/>
    <w:qFormat w:val="on"/>
    <w:rPr>
      <w:i/>
      <w:iCs/>
    </w:rPr>
  </w:style>
  <w:style w:type="paragraph" w:styleId="ListParagraph">
    <w:name w:val="List Paragraph"/>
    <w:aliases w:val="A_маркированный_список,it_List1,Use Case List Paragraph,Bullets,Абзац маркированнный,Маркированный абзац,Маркерный список,Перечисление в основном тексте,Подпись рисунка,ПКФ Список,Заголовок_3,Абзац списка5,Табичный текст,Bullet List,А,lp1"/>
    <w:basedOn w:val="Normal"/>
    <w:link w:val="АбзацспискаЗнак"/>
    <w:uiPriority w:val="34"/>
    <w:qFormat w:val="on"/>
    <w:pPr>
      <w:ind w:left="708"/>
    </w:pPr>
  </w:style>
  <w:style w:type="paragraph" w:customStyle="1" w:styleId="Условияконтракта">
    <w:name w:val="Условия контракта"/>
    <w:basedOn w:val="Normal"/>
    <w:uiPriority w:val="99"/>
    <w:semiHidden w:val="on"/>
    <w:pPr>
      <w:tabs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customStyle="1" w:styleId="Пункт-3">
    <w:name w:val="Пункт-3"/>
    <w:basedOn w:val="Normal"/>
    <w:uiPriority w:val="99"/>
    <w:pPr>
      <w:jc w:val="both"/>
    </w:pPr>
    <w:rPr>
      <w:sz w:val="28"/>
    </w:rPr>
  </w:style>
  <w:style w:type="table" w:styleId="TableGrid">
    <w:name w:val="Table Grid"/>
    <w:basedOn w:val="NormalTable"/>
    <w:uiPriority w:val="39"/>
    <w:pPr/>
    <w:rPr>
      <w:rFonts w:ascii="Calibri" w:cs="Calibri" w:eastAsia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character" w:styleId="Annotationreference">
    <w:name w:val="Annotation reference"/>
    <w:uiPriority w:val="99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rPr>
      <w:b/>
      <w:bCs/>
    </w:rPr>
  </w:style>
  <w:style w:type="character" w:customStyle="1" w:styleId="ТемапримечанияЗнак">
    <w:name w:val="Тема примечания Знак"/>
    <w:link w:val="Annotationsubject"/>
    <w:uiPriority w:val="99"/>
    <w:rPr>
      <w:b/>
      <w:bCs/>
    </w:rPr>
  </w:style>
  <w:style w:type="character" w:customStyle="1" w:styleId="Неразрешенноеупоминание1">
    <w:name w:val="Неразрешенное упоминание1"/>
    <w:uiPriority w:val="99"/>
    <w:semiHidden w:val="on"/>
    <w:unhideWhenUsed w:val="on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 w:val="on"/>
    <w:pPr>
      <w:widowControl w:val="off"/>
      <w:ind w:firstLine="539"/>
      <w:jc w:val="both"/>
    </w:pPr>
    <w:rPr>
      <w:rFonts w:ascii="Courier New" w:cs="Courier New" w:hAnsi="Courier New"/>
    </w:rPr>
  </w:style>
  <w:style w:type="paragraph" w:customStyle="1" w:styleId="ConsPlusNormal">
    <w:name w:val="ConsPlusNormal"/>
    <w:link w:val="ConsPlusNormalЗнак"/>
    <w:uiPriority w:val="99"/>
    <w:qFormat w:val="on"/>
    <w:pPr>
      <w:widowControl w:val="off"/>
      <w:ind w:firstLine="720"/>
      <w:jc w:val="both"/>
    </w:pPr>
    <w:rPr>
      <w:rFonts w:ascii="Arial" w:cs="Arial" w:hAnsi="Arial"/>
    </w:rPr>
  </w:style>
  <w:style w:type="character" w:customStyle="1" w:styleId="ConsPlusNormalЗнак">
    <w:name w:val="ConsPlusNormal Знак"/>
    <w:link w:val="ConsPlusNormal"/>
    <w:uiPriority w:val="99"/>
    <w:rPr>
      <w:rFonts w:ascii="Arial" w:cs="Arial" w:hAnsi="Arial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</w:pPr>
    <w:rPr>
      <w:sz w:val="22"/>
      <w:szCs w:val="22"/>
    </w:rPr>
  </w:style>
  <w:style w:type="character" w:customStyle="1" w:styleId="АбзацспискаЗнак">
    <w:name w:val="Абзац списка Знак"/>
    <w:aliases w:val="A_маркированный_список Знак,it_List1 Знак,Use Case List Paragraph Знак,Bullets Знак,Абзац маркированнный Знак,Маркированный абзац Знак,Маркерный список Знак,Перечисление в основном тексте Знак,Подпись рисунка Знак,ПКФ Список Знак"/>
    <w:link w:val="ListParagraph"/>
    <w:uiPriority w:val="34"/>
    <w:qFormat w:val="on"/>
    <w:rPr>
      <w:sz w:val="24"/>
      <w:szCs w:val="24"/>
    </w:rPr>
  </w:style>
  <w:style w:type="paragraph" w:customStyle="1" w:styleId="Подподпункт">
    <w:name w:val="Подподпункт"/>
    <w:basedOn w:val="Normal"/>
    <w:uiPriority w:val="99"/>
    <w:pPr>
      <w:tabs>
        <w:tab w:val="num" w:pos="1134"/>
      </w:tabs>
      <w:ind w:left="1134" w:hanging="567"/>
      <w:jc w:val="both"/>
    </w:pPr>
  </w:style>
  <w:style w:type="paragraph" w:styleId="BodyText">
    <w:name w:val="Body Text"/>
    <w:basedOn w:val="Normal"/>
    <w:uiPriority w:val="1"/>
    <w:qFormat w:val="on"/>
    <w:rPr>
      <w:sz w:val="26"/>
      <w:szCs w:val="26"/>
    </w:rPr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2" Type="http://schemas.openxmlformats.org/officeDocument/2006/relationships/numbering" Target="numbering.xml"/><Relationship Id="rId22" Type="http://schemas.openxmlformats.org/officeDocument/2006/relationships/image" Target="media/image1.jpeg"/><Relationship Id="rId23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12" Type="http://schemas.openxmlformats.org/officeDocument/2006/relationships/image" Target="media/image2.jpeg"/><Relationship Id="rId14" Type="http://schemas.openxmlformats.org/officeDocument/2006/relationships/image" Target="media/image2.jpeg"/><Relationship Id="rId16" Type="http://schemas.openxmlformats.org/officeDocument/2006/relationships/image" Target="media/image2.jpeg"/><Relationship Id="rId18" Type="http://schemas.openxmlformats.org/officeDocument/2006/relationships/image" Target="media/image2.jpeg"/><Relationship Id="rId20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D6A3-3FBB-47F5-8D63-B9C5D77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СОСТОЯНИИ ТУРИСТСКОГО РЫНКА В АМУРСКОЙ ОБЛАСТИ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СОСТОЯНИИ ТУРИСТСКОГО РЫНКА В АМУРСКОЙ ОБЛАСТИ</dc:title>
  <dc:creator>TOSHIBA</dc:creator>
  <cp:lastModifiedBy>Ирина Мальцева</cp:lastModifiedBy>
</cp:coreProperties>
</file>