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076"/>
        <w:gridCol w:w="4278"/>
      </w:tblGrid>
      <w:tr>
        <w:trPr/>
        <w:tc>
          <w:tcPr>
            <w:tcW w:w="5076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3067050" cy="876300"/>
                  <wp:effectExtent l="0" t="0" r="0" b="0"/>
                  <wp:docPr id="1" name="Рисунок 1" descr="D:\Documents\ТГУ\logotipy_jpg\логотипы ТГУ 2022_основной.jpg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Documents\ТГУ\logotipy_jpg\логотипы ТГУ 2022_основной.jpg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tcBorders/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Verdana" w:hAnsi="Verdana"/>
                <w:b/>
                <w:color w:val="1F497D"/>
                <w:sz w:val="24"/>
                <w:szCs w:val="24"/>
              </w:rPr>
            </w:pPr>
            <w: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203835</wp:posOffset>
                  </wp:positionV>
                  <wp:extent cx="476250" cy="486410"/>
                  <wp:effectExtent l="0" t="0" r="0" b="0"/>
                  <wp:wrapTopAndBottom/>
                  <wp:docPr id="2" name="Рисунок 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50696" t="15352" r="34851" b="58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color w:val="1F497D"/>
                <w:sz w:val="24"/>
                <w:szCs w:val="24"/>
              </w:rPr>
              <w:t>Тольятти</w:t>
            </w:r>
          </w:p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Verdana" w:hAnsi="Verdana"/>
                <w:b/>
                <w:color w:val="1F497D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F497D"/>
                <w:sz w:val="24"/>
                <w:szCs w:val="24"/>
              </w:rPr>
              <w:t>Белорусская, 14</w:t>
            </w:r>
          </w:p>
          <w:p>
            <w:pPr>
              <w:pStyle w:val="Normal"/>
              <w:bidi w:val="0"/>
              <w:spacing w:lineRule="auto" w:line="240" w:before="0" w:after="0"/>
              <w:jc w:val="end"/>
              <w:rPr>
                <w:rFonts w:ascii="Verdana" w:hAnsi="Verdana"/>
                <w:b/>
                <w:color w:val="1F497D"/>
                <w:sz w:val="24"/>
                <w:szCs w:val="24"/>
              </w:rPr>
            </w:pPr>
            <w:r>
              <w:rPr>
                <w:rFonts w:ascii="Verdana" w:hAnsi="Verdana"/>
                <w:b/>
                <w:color w:val="1F497D"/>
                <w:sz w:val="24"/>
                <w:szCs w:val="24"/>
              </w:rPr>
              <w:t>8 8482 44-93-92</w:t>
            </w:r>
          </w:p>
          <w:p>
            <w:pPr>
              <w:pStyle w:val="Normal"/>
              <w:bidi w:val="0"/>
              <w:spacing w:lineRule="auto" w:line="240" w:before="0" w:after="0"/>
              <w:jc w:val="end"/>
              <w:rPr>
                <w:sz w:val="24"/>
                <w:szCs w:val="24"/>
              </w:rPr>
            </w:pPr>
            <w:r>
              <w:rPr>
                <w:rFonts w:ascii="Verdana" w:hAnsi="Verdana"/>
                <w:b/>
                <w:color w:val="1F497D"/>
                <w:sz w:val="24"/>
                <w:szCs w:val="24"/>
              </w:rPr>
              <w:t>press.tgu@yandex.ru</w:t>
            </w:r>
          </w:p>
        </w:tc>
      </w:tr>
    </w:tbl>
    <w:p>
      <w:pPr>
        <w:pStyle w:val="Normal"/>
        <w:bidi w:val="0"/>
        <w:spacing w:lineRule="auto" w:line="240"/>
        <w:jc w:val="center"/>
        <w:rPr>
          <w:rFonts w:ascii="Cambria" w:hAnsi="Cambria"/>
          <w:b/>
          <w:color w:val="1F497D"/>
          <w:sz w:val="24"/>
          <w:szCs w:val="24"/>
        </w:rPr>
      </w:pPr>
      <w:r>
        <w:rPr>
          <w:rFonts w:ascii="Cambria" w:hAnsi="Cambria"/>
          <w:b/>
          <w:color w:val="1F497D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284"/>
        <w:jc w:val="center"/>
        <w:rPr>
          <w:rFonts w:ascii="Verdana" w:hAnsi="Verdana"/>
          <w:b/>
          <w:bCs/>
          <w:color w:val="1F497D"/>
          <w:sz w:val="24"/>
          <w:szCs w:val="24"/>
        </w:rPr>
      </w:pPr>
      <w:r>
        <w:rPr>
          <w:rFonts w:ascii="Verdana" w:hAnsi="Verdana"/>
          <w:b/>
          <w:bCs/>
          <w:color w:val="1F497D"/>
          <w:sz w:val="24"/>
          <w:szCs w:val="24"/>
        </w:rPr>
      </w:r>
    </w:p>
    <w:p>
      <w:pPr>
        <w:pStyle w:val="NormalWeb"/>
        <w:bidi w:val="0"/>
        <w:spacing w:beforeAutospacing="0" w:before="0" w:afterAutospacing="0" w:after="0"/>
        <w:jc w:val="center"/>
        <w:rPr>
          <w:rFonts w:ascii="Verdana" w:hAnsi="Verdana" w:eastAsia="Calibri" w:cs="" w:cstheme="minorBidi" w:eastAsiaTheme="minorHAnsi"/>
          <w:b/>
          <w:bCs/>
          <w:color w:val="1F497D"/>
          <w:lang w:eastAsia="en-US"/>
        </w:rPr>
      </w:pPr>
      <w:r>
        <w:rPr>
          <w:rFonts w:eastAsia="Calibri" w:cs="" w:ascii="Verdana" w:hAnsi="Verdana" w:cstheme="minorBidi" w:eastAsiaTheme="minorHAnsi"/>
          <w:b/>
          <w:bCs/>
          <w:color w:val="1F497D"/>
          <w:lang w:eastAsia="en-US"/>
        </w:rPr>
        <w:t xml:space="preserve">В Тольяттинском госуниверситете учатся дети участников СВО </w:t>
      </w:r>
    </w:p>
    <w:p>
      <w:pPr>
        <w:pStyle w:val="NormalWeb"/>
        <w:bidi w:val="0"/>
        <w:spacing w:beforeAutospacing="0" w:before="0" w:afterAutospacing="0" w:after="0"/>
        <w:jc w:val="both"/>
        <w:rPr>
          <w:rFonts w:ascii="Verdana" w:hAnsi="Verdana" w:eastAsia="Calibri" w:cs="" w:cstheme="minorBidi" w:eastAsiaTheme="minorHAnsi"/>
          <w:b/>
          <w:bCs/>
          <w:color w:val="1F497D"/>
          <w:lang w:eastAsia="en-US"/>
        </w:rPr>
      </w:pPr>
      <w:r>
        <w:rPr>
          <w:rFonts w:eastAsia="Calibri" w:cs="" w:cstheme="minorBidi" w:eastAsiaTheme="minorHAnsi" w:ascii="Verdana" w:hAnsi="Verdana"/>
          <w:b/>
          <w:bCs/>
          <w:color w:val="1F497D"/>
          <w:lang w:eastAsia="en-US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Verdana" w:hAnsi="Verdana" w:eastAsia="Times New Roman" w:cs="Times New Roman"/>
          <w:b/>
          <w:iCs/>
          <w:color w:val="212529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 w:ascii="Verdana" w:hAnsi="Verdana"/>
          <w:b/>
          <w:iCs/>
          <w:color w:val="212529"/>
          <w:sz w:val="24"/>
          <w:szCs w:val="24"/>
          <w:shd w:fill="FFFFFF" w:val="clear"/>
          <w:lang w:eastAsia="ru-RU"/>
        </w:rPr>
        <w:t xml:space="preserve">В 2025 году по специальной квоте в вуз поступили 23 таких абитуриента. В 2024 году льготой воспользовались 16 человек. </w:t>
      </w:r>
    </w:p>
    <w:p>
      <w:pPr>
        <w:pStyle w:val="Normal"/>
        <w:bidi w:val="0"/>
        <w:jc w:val="start"/>
        <w:rPr>
          <w:rFonts w:ascii="Verdana" w:hAnsi="Verdana" w:eastAsia="Cambria" w:cs="Cambria"/>
          <w:color w:val="212529"/>
          <w:sz w:val="24"/>
          <w:szCs w:val="24"/>
        </w:rPr>
      </w:pPr>
      <w:r>
        <w:rPr>
          <w:rFonts w:eastAsia="Cambria" w:cs="Cambria" w:ascii="Verdana" w:hAnsi="Verdana"/>
          <w:color w:val="212529"/>
          <w:sz w:val="24"/>
          <w:szCs w:val="24"/>
        </w:rPr>
      </w:r>
    </w:p>
    <w:p>
      <w:pPr>
        <w:pStyle w:val="Normal"/>
        <w:bidi w:val="0"/>
        <w:jc w:val="start"/>
        <w:rPr>
          <w:rFonts w:ascii="Verdana" w:hAnsi="Verdana" w:eastAsia="Cambria" w:cs="Cambria"/>
          <w:color w:val="212529"/>
          <w:sz w:val="24"/>
          <w:szCs w:val="24"/>
        </w:rPr>
      </w:pPr>
      <w:r>
        <w:rPr>
          <w:rFonts w:eastAsia="Cambria" w:cs="Cambria" w:ascii="Verdana" w:hAnsi="Verdana"/>
          <w:color w:val="212529"/>
          <w:sz w:val="24"/>
          <w:szCs w:val="24"/>
        </w:rPr>
        <w:t xml:space="preserve">Среди наиболее популярных направлений у этой категории студентов — «Проектирование и эксплуатация беспилотных летательных аппаратов», «Промышленное и гражданское строительство», «Разработка программного обеспечения», «Финансовый контроль и управление качеством». </w:t>
      </w:r>
    </w:p>
    <w:p>
      <w:pPr>
        <w:pStyle w:val="Normal"/>
        <w:bidi w:val="0"/>
        <w:jc w:val="start"/>
        <w:rPr>
          <w:rFonts w:ascii="Verdana" w:hAnsi="Verdana" w:eastAsia="Cambria" w:cs="Cambria"/>
          <w:color w:val="212529"/>
          <w:sz w:val="24"/>
          <w:szCs w:val="24"/>
        </w:rPr>
      </w:pPr>
      <w:r>
        <w:rPr>
          <w:rFonts w:eastAsia="Cambria" w:cs="Cambria" w:ascii="Verdana" w:hAnsi="Verdana"/>
          <w:color w:val="212529"/>
          <w:sz w:val="24"/>
          <w:szCs w:val="24"/>
        </w:rPr>
      </w:r>
    </w:p>
    <w:p>
      <w:pPr>
        <w:pStyle w:val="Normal"/>
        <w:bidi w:val="0"/>
        <w:jc w:val="start"/>
        <w:rPr>
          <w:rFonts w:ascii="Verdana" w:hAnsi="Verdana" w:eastAsia="Cambria" w:cs="Cambria"/>
          <w:color w:val="212529"/>
          <w:sz w:val="24"/>
          <w:szCs w:val="24"/>
        </w:rPr>
      </w:pPr>
      <w:r>
        <w:rPr>
          <w:rFonts w:eastAsia="Cambria" w:cs="Cambria" w:ascii="Verdana" w:hAnsi="Verdana"/>
          <w:color w:val="212529"/>
          <w:sz w:val="24"/>
          <w:szCs w:val="24"/>
        </w:rPr>
        <w:t xml:space="preserve">Университет оказывает детям военнослужащих не только образовательные, но и социальные услуги: предусмотрена материальная поддержка и доступ к психологическому консультированию. </w:t>
      </w:r>
    </w:p>
    <w:p>
      <w:pPr>
        <w:pStyle w:val="Normal"/>
        <w:bidi w:val="0"/>
        <w:jc w:val="start"/>
        <w:rPr>
          <w:rFonts w:ascii="Verdana" w:hAnsi="Verdana" w:eastAsia="Cambria" w:cs="Cambria"/>
          <w:color w:val="212529"/>
          <w:sz w:val="24"/>
          <w:szCs w:val="24"/>
        </w:rPr>
      </w:pPr>
      <w:r>
        <w:rPr>
          <w:rFonts w:eastAsia="Cambria" w:cs="Cambria" w:ascii="Verdana" w:hAnsi="Verdana"/>
          <w:color w:val="212529"/>
          <w:sz w:val="24"/>
          <w:szCs w:val="24"/>
        </w:rPr>
      </w:r>
    </w:p>
    <w:p>
      <w:pPr>
        <w:pStyle w:val="Normal"/>
        <w:bidi w:val="0"/>
        <w:jc w:val="start"/>
        <w:rPr>
          <w:rFonts w:ascii="Verdana" w:hAnsi="Verdana" w:eastAsia="Cambria" w:cs="Cambria"/>
          <w:color w:val="212529"/>
          <w:sz w:val="24"/>
          <w:szCs w:val="24"/>
        </w:rPr>
      </w:pPr>
      <w:r>
        <w:rPr>
          <w:rFonts w:eastAsia="Cambria" w:cs="Cambria" w:ascii="Verdana" w:hAnsi="Verdana"/>
          <w:color w:val="212529"/>
          <w:sz w:val="24"/>
          <w:szCs w:val="24"/>
        </w:rPr>
        <w:t xml:space="preserve">Кроме того, в ТГУ учатся и сами участники СВО. В 2024 году один из студентов, проходивший обучение на платформе «Росдистант», успешно защитил диплом прямо из прифронтовой зоны. В настоящее время в университете обучаются 142 участника специальной военной операции. </w:t>
      </w:r>
      <w:bookmarkStart w:id="0" w:name="_GoBack"/>
      <w:bookmarkEnd w:id="0"/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Verdana"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LibreOffice/25.2.4.3$Windows_X86_64 LibreOffice_project/33e196637044ead23f5c3226cde09b47731f7e27</Application>
  <AppVersion>15.0000</AppVersion>
  <Pages>1</Pages>
  <Words>116</Words>
  <Characters>826</Characters>
  <CharactersWithSpaces>939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2025-08-08T09:16:43Z</dcterms:created>
  <dc:creator/>
  <dc:description/>
  <dc:language>ru-RU</dc:language>
  <cp:lastModifiedBy/>
  <dcterms:modified xsi:type="dcterms:W3CDTF">2025-08-08T09:22:13Z</dcterms:modified>
  <cp:revision>4</cp:revision>
  <dc:subject/>
  <dc:title/>
</cp:coreProperties>
</file>