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55"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5076"/>
        <w:gridCol w:w="4278"/>
      </w:tblGrid>
      <w:tr>
        <w:trPr/>
        <w:tc>
          <w:tcPr>
            <w:tcW w:w="5076" w:type="dxa"/>
            <w:tcBorders/>
            <w:shd w:color="auto" w:fill="auto" w:val="clear"/>
          </w:tcPr>
          <w:p>
            <w:pPr>
              <w:pStyle w:val="Normal"/>
              <w:bidi w:val="0"/>
              <w:spacing w:lineRule="auto" w:line="240" w:before="0" w:after="0"/>
              <w:jc w:val="start"/>
              <w:rPr>
                <w:sz w:val="24"/>
                <w:szCs w:val="24"/>
              </w:rPr>
            </w:pPr>
            <w:r>
              <w:rPr/>
              <w:drawing>
                <wp:inline distT="0" distB="0" distL="0" distR="0">
                  <wp:extent cx="3067050" cy="876300"/>
                  <wp:effectExtent l="0" t="0" r="0" b="0"/>
                  <wp:docPr id="1" name="Рисунок 1" descr="D:\Documents\ТГУ\logotipy_jpg\логотипы ТГУ 2022_основной.jpg"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D:\Documents\ТГУ\logotipy_jpg\логотипы ТГУ 2022_основной.jpg" title=""/>
                          <pic:cNvPicPr>
                            <a:picLocks noChangeAspect="1" noChangeArrowheads="1"/>
                          </pic:cNvPicPr>
                        </pic:nvPicPr>
                        <pic:blipFill>
                          <a:blip r:embed="rId2"/>
                          <a:stretch>
                            <a:fillRect/>
                          </a:stretch>
                        </pic:blipFill>
                        <pic:spPr bwMode="auto">
                          <a:xfrm>
                            <a:off x="0" y="0"/>
                            <a:ext cx="3067050" cy="876300"/>
                          </a:xfrm>
                          <a:prstGeom prst="rect">
                            <a:avLst/>
                          </a:prstGeom>
                          <a:noFill/>
                        </pic:spPr>
                      </pic:pic>
                    </a:graphicData>
                  </a:graphic>
                </wp:inline>
              </w:drawing>
            </w:r>
          </w:p>
        </w:tc>
        <w:tc>
          <w:tcPr>
            <w:tcW w:w="4278" w:type="dxa"/>
            <w:tcBorders/>
            <w:shd w:color="auto" w:fill="auto" w:val="clear"/>
          </w:tcPr>
          <w:p>
            <w:pPr>
              <w:pStyle w:val="Normal"/>
              <w:bidi w:val="0"/>
              <w:spacing w:lineRule="auto" w:line="240" w:before="0" w:after="0"/>
              <w:jc w:val="end"/>
              <w:rPr>
                <w:rFonts w:ascii="Verdana" w:hAnsi="Verdana"/>
                <w:b/>
                <w:color w:val="1F497D"/>
                <w:sz w:val="24"/>
                <w:szCs w:val="24"/>
              </w:rPr>
            </w:pPr>
            <w:r>
              <w:drawing>
                <wp:anchor behindDoc="0" distT="0" distB="0" distL="114300" distR="114300" simplePos="0" locked="0" layoutInCell="1" allowOverlap="1" relativeHeight="3">
                  <wp:simplePos x="0" y="0"/>
                  <wp:positionH relativeFrom="column">
                    <wp:posOffset>-64770</wp:posOffset>
                  </wp:positionH>
                  <wp:positionV relativeFrom="paragraph">
                    <wp:posOffset>203835</wp:posOffset>
                  </wp:positionV>
                  <wp:extent cx="476250" cy="486410"/>
                  <wp:effectExtent l="0" t="0" r="0" b="0"/>
                  <wp:wrapTopAndBottom/>
                  <wp:docPr id="2" name="Рисунок 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8" descr="" title=""/>
                          <pic:cNvPicPr>
                            <a:picLocks noChangeAspect="1" noChangeArrowheads="1"/>
                          </pic:cNvPicPr>
                        </pic:nvPicPr>
                        <pic:blipFill>
                          <a:blip r:embed="rId3"/>
                          <a:srcRect l="50696" t="15352" r="34851" b="58488"/>
                          <a:stretch>
                            <a:fillRect/>
                          </a:stretch>
                        </pic:blipFill>
                        <pic:spPr bwMode="auto">
                          <a:xfrm>
                            <a:off x="0" y="0"/>
                            <a:ext cx="476250" cy="486410"/>
                          </a:xfrm>
                          <a:prstGeom prst="rect">
                            <a:avLst/>
                          </a:prstGeom>
                          <a:noFill/>
                        </pic:spPr>
                      </pic:pic>
                    </a:graphicData>
                  </a:graphic>
                </wp:anchor>
              </w:drawing>
            </w:r>
            <w:r>
              <w:rPr>
                <w:rFonts w:ascii="Verdana" w:hAnsi="Verdana"/>
                <w:b/>
                <w:color w:val="1F497D"/>
                <w:sz w:val="24"/>
                <w:szCs w:val="24"/>
              </w:rPr>
              <w:t>Тольятти</w:t>
            </w:r>
          </w:p>
          <w:p>
            <w:pPr>
              <w:pStyle w:val="Normal"/>
              <w:bidi w:val="0"/>
              <w:spacing w:lineRule="auto" w:line="240" w:before="0" w:after="0"/>
              <w:jc w:val="end"/>
              <w:rPr>
                <w:rFonts w:ascii="Verdana" w:hAnsi="Verdana"/>
                <w:b/>
                <w:color w:val="1F497D"/>
                <w:sz w:val="24"/>
                <w:szCs w:val="24"/>
              </w:rPr>
            </w:pPr>
            <w:r>
              <w:rPr>
                <w:rFonts w:ascii="Verdana" w:hAnsi="Verdana"/>
                <w:b/>
                <w:color w:val="1F497D"/>
                <w:sz w:val="24"/>
                <w:szCs w:val="24"/>
              </w:rPr>
              <w:t>Белорусская, 14</w:t>
            </w:r>
          </w:p>
          <w:p>
            <w:pPr>
              <w:pStyle w:val="Normal"/>
              <w:bidi w:val="0"/>
              <w:spacing w:lineRule="auto" w:line="240" w:before="0" w:after="0"/>
              <w:jc w:val="end"/>
              <w:rPr>
                <w:rFonts w:ascii="Verdana" w:hAnsi="Verdana"/>
                <w:b/>
                <w:color w:val="1F497D"/>
                <w:sz w:val="24"/>
                <w:szCs w:val="24"/>
              </w:rPr>
            </w:pPr>
            <w:r>
              <w:rPr>
                <w:rFonts w:ascii="Verdana" w:hAnsi="Verdana"/>
                <w:b/>
                <w:color w:val="1F497D"/>
                <w:sz w:val="24"/>
                <w:szCs w:val="24"/>
              </w:rPr>
              <w:t>8 8482 44-93-92</w:t>
            </w:r>
          </w:p>
          <w:p>
            <w:pPr>
              <w:pStyle w:val="Normal"/>
              <w:bidi w:val="0"/>
              <w:spacing w:lineRule="auto" w:line="240" w:before="0" w:after="0"/>
              <w:jc w:val="end"/>
              <w:rPr>
                <w:sz w:val="24"/>
                <w:szCs w:val="24"/>
              </w:rPr>
            </w:pPr>
            <w:r>
              <w:rPr>
                <w:rFonts w:ascii="Verdana" w:hAnsi="Verdana"/>
                <w:b/>
                <w:color w:val="1F497D"/>
                <w:sz w:val="24"/>
                <w:szCs w:val="24"/>
              </w:rPr>
              <w:t>press.tgu@yandex.ru</w:t>
            </w:r>
          </w:p>
        </w:tc>
      </w:tr>
    </w:tbl>
    <w:p>
      <w:pPr>
        <w:pStyle w:val="Normal"/>
        <w:bidi w:val="0"/>
        <w:spacing w:lineRule="auto" w:line="240"/>
        <w:jc w:val="center"/>
        <w:rPr>
          <w:rFonts w:ascii="Cambria" w:hAnsi="Cambria"/>
          <w:b/>
          <w:color w:val="1F497D"/>
          <w:sz w:val="24"/>
          <w:szCs w:val="24"/>
        </w:rPr>
      </w:pPr>
      <w:r>
        <w:rPr>
          <w:rFonts w:ascii="Cambria" w:hAnsi="Cambria"/>
          <w:b/>
          <w:color w:val="1F497D"/>
          <w:sz w:val="24"/>
          <w:szCs w:val="24"/>
        </w:rPr>
      </w:r>
    </w:p>
    <w:p>
      <w:pPr>
        <w:pStyle w:val="Normal"/>
        <w:bidi w:val="0"/>
        <w:spacing w:lineRule="auto" w:line="240" w:before="0" w:after="0"/>
        <w:ind w:firstLine="284"/>
        <w:jc w:val="center"/>
        <w:rPr>
          <w:rFonts w:ascii="Verdana" w:hAnsi="Verdana"/>
          <w:b/>
          <w:bCs/>
          <w:color w:val="1F497D"/>
          <w:sz w:val="24"/>
          <w:szCs w:val="24"/>
        </w:rPr>
      </w:pPr>
      <w:r>
        <w:rPr>
          <w:rFonts w:ascii="Verdana" w:hAnsi="Verdana"/>
          <w:b/>
          <w:bCs/>
          <w:color w:val="1F497D"/>
          <w:sz w:val="24"/>
          <w:szCs w:val="24"/>
        </w:rPr>
      </w:r>
    </w:p>
    <w:p>
      <w:pPr>
        <w:pStyle w:val="NormalWeb"/>
        <w:bidi w:val="0"/>
        <w:spacing w:beforeAutospacing="0" w:before="0" w:afterAutospacing="0" w:after="0"/>
        <w:jc w:val="center"/>
        <w:rPr>
          <w:rFonts w:ascii="Verdana" w:hAnsi="Verdana" w:eastAsia="Calibri" w:cs="" w:cstheme="minorBidi" w:eastAsiaTheme="minorHAnsi"/>
          <w:b/>
          <w:bCs/>
          <w:color w:val="1F497D"/>
          <w:lang w:eastAsia="en-US"/>
        </w:rPr>
      </w:pPr>
      <w:r>
        <w:rPr>
          <w:rFonts w:eastAsia="Calibri" w:cs="" w:ascii="Times New Roman" w:hAnsi="Times New Roman" w:cstheme="minorBidi" w:eastAsiaTheme="minorHAnsi"/>
          <w:b/>
          <w:bCs/>
          <w:color w:val="1F497D"/>
          <w:lang w:eastAsia="en-US"/>
        </w:rPr>
        <w:t xml:space="preserve">Formula Student ТГУ: обучаем побеждать с первого курса </w:t>
      </w:r>
    </w:p>
    <w:p>
      <w:pPr>
        <w:pStyle w:val="NormalWeb"/>
        <w:bidi w:val="0"/>
        <w:spacing w:beforeAutospacing="0" w:before="0" w:afterAutospacing="0" w:after="0"/>
        <w:jc w:val="both"/>
        <w:rPr>
          <w:rFonts w:ascii="Verdana" w:hAnsi="Verdana" w:eastAsia="Calibri" w:cs="" w:cstheme="minorBidi" w:eastAsiaTheme="minorHAnsi"/>
          <w:b/>
          <w:bCs/>
          <w:color w:val="1F497D"/>
          <w:lang w:eastAsia="en-US"/>
        </w:rPr>
      </w:pPr>
      <w:r>
        <w:rPr>
          <w:rFonts w:ascii="Times New Roman" w:hAnsi="Times New Roman"/>
        </w:rPr>
      </w:r>
    </w:p>
    <w:p>
      <w:pPr>
        <w:pStyle w:val="Normal"/>
        <w:bidi w:val="0"/>
        <w:jc w:val="start"/>
        <w:rPr>
          <w:rFonts w:ascii="Times New Roman" w:hAnsi="Times New Roman"/>
          <w:sz w:val="24"/>
          <w:szCs w:val="24"/>
        </w:rPr>
      </w:pPr>
      <w:r>
        <w:rPr>
          <w:rFonts w:ascii="Times New Roman" w:hAnsi="Times New Roman"/>
          <w:b/>
          <w:sz w:val="24"/>
          <w:szCs w:val="24"/>
          <w:shd w:fill="FFFFFF" w:val="clear"/>
        </w:rPr>
        <w:t xml:space="preserve">На </w:t>
      </w:r>
      <w:r>
        <w:rPr>
          <w:rFonts w:ascii="Times New Roman" w:hAnsi="Times New Roman"/>
          <w:b/>
          <w:sz w:val="24"/>
          <w:szCs w:val="24"/>
        </w:rPr>
        <w:t xml:space="preserve">Всероссийском инженерном соревновании </w:t>
      </w:r>
      <w:r>
        <w:rPr>
          <w:rFonts w:ascii="Times New Roman" w:hAnsi="Times New Roman"/>
          <w:b/>
          <w:sz w:val="24"/>
          <w:szCs w:val="24"/>
          <w:shd w:fill="FFFFFF" w:val="clear"/>
        </w:rPr>
        <w:t xml:space="preserve">Formula Student Russia 2025 команда Tольяттинского госуниверситета заняла третье место в общем зачете класса CV. Но, несмотря на то, что много лет </w:t>
      </w:r>
      <w:r>
        <w:rPr>
          <w:rFonts w:ascii="Times New Roman" w:hAnsi="Times New Roman"/>
          <w:b/>
          <w:sz w:val="24"/>
          <w:szCs w:val="24"/>
        </w:rPr>
        <w:t xml:space="preserve">Togliatti Racing Team были первыми, нынешняя победа особенно почетна и дорога команде. </w:t>
      </w:r>
      <w:r>
        <w:rPr>
          <w:rFonts w:ascii="Times New Roman" w:hAnsi="Times New Roman"/>
          <w:b/>
          <w:sz w:val="24"/>
          <w:szCs w:val="24"/>
          <w:shd w:fill="FFFFFF" w:val="clear"/>
        </w:rPr>
        <w:t>Более половины состава в этом году пришлось на первокурсников и новобранцев, для которых участие в проекте стало первым практическим опытом в инженерных соревнованиях. И тем не менее, показали достойную конкуренцию среди сильнейших команд из России, Китая и Турции!</w:t>
      </w:r>
    </w:p>
    <w:p>
      <w:pPr>
        <w:pStyle w:val="Normal"/>
        <w:bidi w:val="0"/>
        <w:jc w:val="start"/>
        <w:rPr>
          <w:rFonts w:ascii="Times New Roman" w:hAnsi="Times New Roman" w:cs="Arial"/>
          <w:sz w:val="24"/>
          <w:szCs w:val="24"/>
          <w:shd w:fill="FFFFFF" w:val="clear"/>
        </w:rPr>
      </w:pPr>
      <w:r>
        <w:rPr>
          <w:rFonts w:cs="Arial" w:ascii="Times New Roman" w:hAnsi="Times New Roman"/>
          <w:sz w:val="24"/>
          <w:szCs w:val="24"/>
          <w:shd w:fill="FFFFFF" w:val="clear"/>
        </w:rPr>
      </w:r>
    </w:p>
    <w:p>
      <w:pPr>
        <w:pStyle w:val="Normal"/>
        <w:bidi w:val="0"/>
        <w:jc w:val="start"/>
        <w:rPr>
          <w:rFonts w:ascii="Times New Roman" w:hAnsi="Times New Roman"/>
          <w:sz w:val="24"/>
          <w:szCs w:val="24"/>
        </w:rPr>
      </w:pPr>
      <w:r>
        <w:rPr>
          <w:rFonts w:cs="Arial" w:ascii="Times New Roman" w:hAnsi="Times New Roman"/>
          <w:sz w:val="24"/>
          <w:szCs w:val="24"/>
          <w:shd w:fill="FFFFFF" w:val="clear"/>
        </w:rPr>
        <w:t xml:space="preserve">Подиум команда </w:t>
      </w:r>
      <w:r>
        <w:rPr>
          <w:rFonts w:ascii="Times New Roman" w:hAnsi="Times New Roman"/>
          <w:sz w:val="24"/>
          <w:szCs w:val="24"/>
        </w:rPr>
        <w:t xml:space="preserve">Togliatti Racing Team  </w:t>
      </w:r>
      <w:r>
        <w:rPr>
          <w:rFonts w:cs="Arial" w:ascii="Times New Roman" w:hAnsi="Times New Roman"/>
          <w:sz w:val="24"/>
          <w:szCs w:val="24"/>
          <w:shd w:fill="FFFFFF" w:val="clear"/>
        </w:rPr>
        <w:t>поделила с китайскими коллегами из Гуйлиньского университета аэрокосмических технологий и командой Уральского государственного университета путей сообщения.</w:t>
      </w:r>
      <w:r>
        <w:rPr>
          <w:rFonts w:cs="Arial" w:ascii="Times New Roman" w:hAnsi="Times New Roman"/>
          <w:spacing w:val="-1"/>
          <w:sz w:val="24"/>
          <w:szCs w:val="24"/>
          <w:shd w:fill="DDE0E6" w:val="clear"/>
        </w:rPr>
        <w:br/>
      </w:r>
      <w:r>
        <w:rPr>
          <w:rFonts w:ascii="Times New Roman" w:hAnsi="Times New Roman"/>
          <w:sz w:val="24"/>
          <w:szCs w:val="24"/>
        </w:rPr>
        <w:br/>
      </w:r>
      <w:r>
        <w:rPr>
          <w:rFonts w:ascii="Times New Roman" w:hAnsi="Times New Roman"/>
          <w:i/>
          <w:sz w:val="24"/>
          <w:szCs w:val="24"/>
        </w:rPr>
        <w:t xml:space="preserve">- Имея три четверти «желторотиков» в команде, мы сумели попасть на первое место за теоретические дисциплины и на подиум в оверале. Наверное, это лучший результат моей работы за всю историю «формульной» судьбы, </w:t>
      </w:r>
      <w:r>
        <w:rPr>
          <w:rFonts w:ascii="Times New Roman" w:hAnsi="Times New Roman"/>
          <w:sz w:val="24"/>
          <w:szCs w:val="24"/>
        </w:rPr>
        <w:t xml:space="preserve">– говорит руководитель проекта «Формула Студент» в ТГУ, заведующий кафедрой </w:t>
      </w:r>
      <w:r>
        <w:rPr>
          <w:rFonts w:ascii="Times New Roman" w:hAnsi="Times New Roman"/>
          <w:color w:val="081B47"/>
          <w:sz w:val="24"/>
          <w:szCs w:val="24"/>
        </w:rPr>
        <w:t>"</w:t>
      </w:r>
      <w:r>
        <w:rPr>
          <w:rFonts w:ascii="Times New Roman" w:hAnsi="Times New Roman"/>
          <w:sz w:val="24"/>
          <w:szCs w:val="24"/>
        </w:rPr>
        <w:t xml:space="preserve">Проектирование и эксплуатация автомобилей" </w:t>
      </w:r>
      <w:r>
        <w:rPr>
          <w:rFonts w:ascii="Times New Roman" w:hAnsi="Times New Roman"/>
          <w:b/>
          <w:sz w:val="24"/>
          <w:szCs w:val="24"/>
        </w:rPr>
        <w:t>Александр Бобровский</w:t>
      </w:r>
      <w:r>
        <w:rPr>
          <w:rFonts w:ascii="Times New Roman" w:hAnsi="Times New Roman"/>
          <w:sz w:val="24"/>
          <w:szCs w:val="24"/>
        </w:rPr>
        <w:t>.</w:t>
      </w:r>
      <w:r>
        <w:rPr>
          <w:rFonts w:ascii="Times New Roman" w:hAnsi="Times New Roman"/>
          <w:i/>
          <w:sz w:val="24"/>
          <w:szCs w:val="24"/>
        </w:rPr>
        <w:t xml:space="preserve"> </w:t>
      </w:r>
      <w:r>
        <w:rPr>
          <w:rFonts w:ascii="Times New Roman" w:hAnsi="Times New Roman"/>
          <w:i/>
          <w:color w:val="081B47"/>
          <w:sz w:val="24"/>
          <w:szCs w:val="24"/>
        </w:rPr>
        <w:t>–</w:t>
      </w:r>
      <w:r>
        <w:rPr>
          <w:rFonts w:ascii="Times New Roman" w:hAnsi="Times New Roman"/>
          <w:i/>
          <w:sz w:val="24"/>
          <w:szCs w:val="24"/>
        </w:rPr>
        <w:t xml:space="preserve"> «Формула» - это не игрища! Это очень сложный инженерный проект, в котором нужны фундаментальные знания в инженерном деле. И дать вчерашним школьникам такие знания - это практически совершить невозможное.</w:t>
      </w:r>
    </w:p>
    <w:p>
      <w:pPr>
        <w:pStyle w:val="Normal"/>
        <w:bidi w:val="0"/>
        <w:jc w:val="start"/>
        <w:rPr>
          <w:rFonts w:ascii="Times New Roman" w:hAnsi="Times New Roman"/>
          <w:sz w:val="24"/>
          <w:szCs w:val="24"/>
        </w:rPr>
      </w:pPr>
      <w:r>
        <w:rPr>
          <w:rFonts w:cs="Times New Roman" w:ascii="Times New Roman" w:hAnsi="Times New Roman"/>
          <w:sz w:val="24"/>
          <w:szCs w:val="24"/>
        </w:rPr>
        <w:br/>
        <w:t>Студенческие команды в проекте «Формула Студент» разрабатывают и строят гоночные болиды, которые затем проходят статические и динамические испытания. Статические испытания оценивают инжиниринг, дизайн и конструкцию, а динамические - ходовые качества, разгон и экономичность.</w:t>
        <w:br/>
        <w:t>Одним из ключевых требований к команде является проведение полного цикла расчетов, в том числе на прочность, надежность и безопасность конструкции. Без этого команда просто не сможет участвовать в соревнованиях. Столь же важной составляющей проекта является проверка знаний участников. Каждая команда должна ответить на вопросы "Почему машина была спроектирована именно таким образом?", "Сколько будет стоить ее производство?", "Кому будет интересно (и будет ли) в это производство инвестировать?" Именно этим темам посвящены дисциплины, в рамках которых команды дискутируют с экспертами.</w:t>
        <w:br/>
      </w:r>
      <w:r>
        <w:rPr>
          <w:rFonts w:cs="Times New Roman" w:ascii="Times New Roman" w:hAnsi="Times New Roman"/>
          <w:i/>
          <w:sz w:val="24"/>
          <w:szCs w:val="24"/>
        </w:rPr>
        <w:br/>
        <w:t xml:space="preserve">- </w:t>
      </w:r>
      <w:r>
        <w:rPr>
          <w:rFonts w:ascii="Times New Roman" w:hAnsi="Times New Roman"/>
          <w:i/>
          <w:sz w:val="24"/>
          <w:szCs w:val="24"/>
          <w:lang w:eastAsia="ru-RU"/>
        </w:rPr>
        <w:t>Г</w:t>
      </w:r>
      <w:r>
        <w:rPr>
          <w:rFonts w:ascii="Times New Roman" w:hAnsi="Times New Roman"/>
          <w:i/>
          <w:sz w:val="24"/>
          <w:szCs w:val="24"/>
        </w:rPr>
        <w:t xml:space="preserve">лавная дисциплина «Формулы Студент» - это </w:t>
      </w:r>
      <w:r>
        <w:rPr>
          <w:rFonts w:eastAsia="Times New Roman" w:cs="Arial" w:ascii="Times New Roman" w:hAnsi="Times New Roman"/>
          <w:bCs/>
          <w:i/>
          <w:sz w:val="24"/>
          <w:szCs w:val="24"/>
          <w:lang w:eastAsia="ru-RU"/>
        </w:rPr>
        <w:t xml:space="preserve">Design </w:t>
      </w:r>
      <w:r>
        <w:rPr>
          <w:rFonts w:eastAsia="Times New Roman" w:cs="Arial" w:ascii="Times New Roman" w:hAnsi="Times New Roman"/>
          <w:bCs/>
          <w:i/>
          <w:sz w:val="24"/>
          <w:szCs w:val="24"/>
          <w:lang w:val="en-US" w:eastAsia="ru-RU"/>
        </w:rPr>
        <w:t>Report</w:t>
      </w:r>
      <w:r>
        <w:rPr>
          <w:rFonts w:cs="Times New Roman" w:ascii="Times New Roman" w:hAnsi="Times New Roman"/>
          <w:i/>
          <w:sz w:val="24"/>
          <w:szCs w:val="24"/>
        </w:rPr>
        <w:t xml:space="preserve">, </w:t>
      </w:r>
      <w:r>
        <w:rPr>
          <w:rFonts w:ascii="Times New Roman" w:hAnsi="Times New Roman"/>
          <w:i/>
          <w:sz w:val="24"/>
          <w:szCs w:val="24"/>
        </w:rPr>
        <w:t xml:space="preserve">защита конструкции, </w:t>
      </w:r>
      <w:r>
        <w:rPr>
          <w:rFonts w:ascii="Times New Roman" w:hAnsi="Times New Roman"/>
          <w:sz w:val="24"/>
          <w:szCs w:val="24"/>
        </w:rPr>
        <w:t>- объясняет Александр Бобровский.</w:t>
      </w:r>
      <w:r>
        <w:rPr>
          <w:rFonts w:ascii="Times New Roman" w:hAnsi="Times New Roman"/>
          <w:i/>
          <w:sz w:val="24"/>
          <w:szCs w:val="24"/>
        </w:rPr>
        <w:t xml:space="preserve"> - Ребята на английском языке перед ведущими в своей области инженерами должны защитить конструкцию созданного болида, причём досконально: обосновать каждый узел, каждый элемент. Надо доказать правильность принятых технических решений, в этот момент еще задают вопросы, какие-то задачи – все, подчеркиваю, строго на английском языке. И вот в этой дисциплине мы выступили просто блестяще. Первое место и высший балл соревнований – 150.  В нашей истории это, наверное, впервые.</w:t>
      </w:r>
      <w:r>
        <w:rPr>
          <w:rFonts w:ascii="Times New Roman" w:hAnsi="Times New Roman"/>
          <w:sz w:val="24"/>
          <w:szCs w:val="24"/>
        </w:rPr>
        <w:t xml:space="preserve"> </w:t>
      </w:r>
      <w:r>
        <w:rPr>
          <w:rFonts w:ascii="Times New Roman" w:hAnsi="Times New Roman"/>
          <w:sz w:val="24"/>
          <w:szCs w:val="24"/>
          <w:lang w:eastAsia="ru-RU"/>
        </w:rPr>
        <w:br/>
        <w:br/>
      </w:r>
      <w:r>
        <w:rPr>
          <w:rFonts w:cs="Times New Roman" w:ascii="Times New Roman" w:hAnsi="Times New Roman"/>
          <w:sz w:val="24"/>
          <w:szCs w:val="24"/>
        </w:rPr>
        <w:t>На динамических испытаниях успехи были скромнее. Напомним, «Формула Студент» проходит Санкт-Петербурге в рамках GARAGE FEST «Игора Драйв 2025». Динамические испытания имитируют раллийные гонки, где каждая машина по очереди демонстрирует свои возможности: разгон, максимальную скорость в поворотах, время прохождения трассы и расход топлива (или электроэнергии). Болид Pink Scorpion G5, созданный командой ТГУ, полностью прошел техническую инспекцию и был готов покорять трек, и поехал по нему! Но…</w:t>
      </w:r>
    </w:p>
    <w:p>
      <w:pPr>
        <w:pStyle w:val="Normal"/>
        <w:bidi w:val="0"/>
        <w:jc w:val="start"/>
        <w:rPr>
          <w:rFonts w:ascii="Times New Roman" w:hAnsi="Times New Roman"/>
          <w:sz w:val="24"/>
          <w:szCs w:val="24"/>
        </w:rPr>
      </w:pPr>
      <w:r>
        <w:rPr>
          <w:rFonts w:ascii="Times New Roman" w:hAnsi="Times New Roman"/>
          <w:b/>
          <w:bCs/>
          <w:i/>
          <w:sz w:val="24"/>
          <w:szCs w:val="24"/>
        </w:rPr>
        <w:t>–</w:t>
      </w:r>
      <w:r>
        <w:rPr>
          <w:rFonts w:ascii="Times New Roman" w:hAnsi="Times New Roman"/>
          <w:i/>
          <w:sz w:val="24"/>
          <w:szCs w:val="24"/>
        </w:rPr>
        <w:t xml:space="preserve"> </w:t>
      </w:r>
      <w:r>
        <w:rPr>
          <w:rFonts w:ascii="Times New Roman" w:hAnsi="Times New Roman"/>
          <w:i/>
          <w:sz w:val="24"/>
          <w:szCs w:val="24"/>
        </w:rPr>
        <w:t xml:space="preserve">Пилот наш пока имеет очень мало опыта управления, </w:t>
      </w:r>
      <w:r>
        <w:rPr>
          <w:rFonts w:ascii="Times New Roman" w:hAnsi="Times New Roman"/>
          <w:sz w:val="24"/>
          <w:szCs w:val="24"/>
        </w:rPr>
        <w:t>– поясняет Александр Бобровский.</w:t>
      </w:r>
      <w:r>
        <w:rPr>
          <w:rFonts w:ascii="Times New Roman" w:hAnsi="Times New Roman"/>
          <w:i/>
          <w:sz w:val="24"/>
          <w:szCs w:val="24"/>
        </w:rPr>
        <w:t xml:space="preserve"> – Так получилось, что он заглушил машину во время гонки, и она сошла. Если бы болид доехал до финиша – мы наверняка были бы минимум на втором месте в общем зачете. Но теперь это уже можно говорить только в сослагательном наклонении.  </w:t>
      </w:r>
    </w:p>
    <w:p>
      <w:pPr>
        <w:pStyle w:val="Normal"/>
        <w:bidi w:val="0"/>
        <w:jc w:val="start"/>
        <w:rPr>
          <w:rFonts w:ascii="Times New Roman" w:hAnsi="Times New Roman"/>
          <w:sz w:val="24"/>
          <w:szCs w:val="24"/>
        </w:rPr>
      </w:pPr>
      <w:r>
        <w:rPr>
          <w:rFonts w:cs="Arial" w:ascii="Times New Roman" w:hAnsi="Times New Roman"/>
          <w:sz w:val="24"/>
          <w:szCs w:val="24"/>
          <w:shd w:fill="FFFFFF" w:val="clear"/>
        </w:rPr>
        <w:t>Конечно, команде есть куда расти. Необходима тщательная подготовка пилотов и машины, много тренировок и передача ценного опыта.</w:t>
      </w:r>
      <w:r>
        <w:rPr>
          <w:rFonts w:ascii="Times New Roman" w:hAnsi="Times New Roman"/>
          <w:sz w:val="24"/>
          <w:szCs w:val="24"/>
        </w:rPr>
        <w:t xml:space="preserve"> Но на следующих соревнованиях в Питере, которые будут проходить в 2026 году, нынешние новобранцы Togliatti Racing Team уже могут быть успешны во всех дисциплинах. И если в этот раз судьи соревнований были удивлены только тем, что с почти новым составом команда ТГУ сохранила очень высокий уровень инженерной подготовки, то в будущем году надо удивить и тем, как быстро и уверенно сегодняшние «перваши» набрали водительских навыков и компетенций. </w:t>
      </w:r>
    </w:p>
    <w:p>
      <w:pPr>
        <w:pStyle w:val="Normal"/>
        <w:bidi w:val="0"/>
        <w:jc w:val="start"/>
        <w:rPr/>
      </w:pPr>
      <w:r>
        <w:rPr>
          <w:rFonts w:cs="Times New Roman" w:ascii="Times New Roman" w:hAnsi="Times New Roman"/>
          <w:b/>
          <w:sz w:val="24"/>
          <w:szCs w:val="24"/>
        </w:rPr>
        <w:t xml:space="preserve">Стать частью команды Togliatti Racing Team можно поступив на специальности 23.05.01 «Наземные транспортные средства» и 13.03.03 «Энергетическое машиностроение». Впрочем, здесь примут любого желающего из поступивших на направления </w:t>
      </w:r>
      <w:hyperlink r:id="rId4">
        <w:r>
          <w:rPr>
            <w:rStyle w:val="Hyperlink"/>
            <w:rFonts w:cs="Times New Roman" w:ascii="Times New Roman" w:hAnsi="Times New Roman"/>
            <w:b/>
            <w:sz w:val="24"/>
            <w:szCs w:val="24"/>
            <w:u w:val="none"/>
          </w:rPr>
          <w:t>Института машиностроения</w:t>
        </w:r>
      </w:hyperlink>
      <w:r>
        <w:rPr>
          <w:rFonts w:cs="Times New Roman" w:ascii="Times New Roman" w:hAnsi="Times New Roman"/>
          <w:b/>
          <w:sz w:val="24"/>
          <w:szCs w:val="24"/>
          <w:u w:val="none"/>
        </w:rPr>
        <w:t>.</w:t>
      </w:r>
      <w:r>
        <w:rPr>
          <w:rFonts w:cs="Times New Roman" w:ascii="Times New Roman" w:hAnsi="Times New Roman"/>
          <w:b/>
          <w:sz w:val="24"/>
          <w:szCs w:val="24"/>
        </w:rPr>
        <w:br/>
      </w:r>
    </w:p>
    <w:p>
      <w:pPr>
        <w:pStyle w:val="Normal"/>
        <w:bidi w:val="0"/>
        <w:jc w:val="start"/>
        <w:rPr>
          <w:rFonts w:ascii="Times New Roman" w:hAnsi="Times New Roman"/>
          <w:sz w:val="24"/>
          <w:szCs w:val="24"/>
        </w:rPr>
      </w:pPr>
      <w:r>
        <w:rPr>
          <w:rFonts w:cs="Calibri" w:ascii="Times New Roman" w:hAnsi="Times New Roman" w:cstheme="minorHAnsi"/>
          <w:color w:val="081B47"/>
          <w:sz w:val="24"/>
          <w:szCs w:val="24"/>
        </w:rPr>
        <w:t xml:space="preserve">Работа команды Togliatti Racing Team в Тольяттинском государственном университете, а также её выступления на российских и международных этапах Formula Student осуществляются в рамках реализации </w:t>
      </w:r>
      <w:bookmarkStart w:id="0" w:name="_GoBack"/>
      <w:bookmarkEnd w:id="0"/>
      <w:r>
        <w:rPr>
          <w:rFonts w:cs="Calibri" w:ascii="Times New Roman" w:hAnsi="Times New Roman" w:cstheme="minorHAnsi"/>
          <w:color w:val="081B47"/>
          <w:sz w:val="24"/>
          <w:szCs w:val="24"/>
        </w:rPr>
        <w:t>Передовой инженерной школы "Гибридтех".</w:t>
      </w:r>
    </w:p>
    <w:p>
      <w:pPr>
        <w:pStyle w:val="Normal"/>
        <w:bidi w:val="0"/>
        <w:spacing w:before="0" w:after="0"/>
        <w:jc w:val="both"/>
        <w:rPr>
          <w:rFonts w:ascii="Times New Roman" w:hAnsi="Times New Roman"/>
        </w:rPr>
      </w:pPr>
      <w:r>
        <w:rPr>
          <w:rFonts w:ascii="Times New Roman" w:hAnsi="Times New Roman"/>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Liberation Sans">
    <w:altName w:val="Arial"/>
    <w:charset w:val="cc" w:characterSet="windows-1251"/>
    <w:family w:val="swiss"/>
    <w:pitch w:val="variable"/>
  </w:font>
  <w:font w:name="Times New Roman">
    <w:charset w:val="cc" w:characterSet="windows-1251"/>
    <w:family w:val="roman"/>
    <w:pitch w:val="variable"/>
  </w:font>
  <w:font w:name="Verdana">
    <w:charset w:val="cc" w:characterSet="windows-1251"/>
    <w:family w:val="swiss"/>
    <w:pitch w:val="variable"/>
  </w:font>
  <w:font w:name="Cambria">
    <w:charset w:val="cc" w:characterSet="windows-125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6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ru-RU"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Style14">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5">
    <w:name w:val="Указатель"/>
    <w:basedOn w:val="Normal"/>
    <w:qFormat/>
    <w:pPr>
      <w:suppressLineNumbers/>
    </w:pPr>
    <w:rPr>
      <w:rFonts w:cs="Lucida Sans"/>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ru-RU"/>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hyperlink" Target="https://www.tltsu.ru/education/institutions/institut-masinostroeniia"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LibreOffice/25.2.4.3$Windows_X86_64 LibreOffice_project/33e196637044ead23f5c3226cde09b47731f7e27</Application>
  <AppVersion>15.0000</AppVersion>
  <Pages>2</Pages>
  <Words>635</Words>
  <Characters>4098</Characters>
  <CharactersWithSpaces>4741</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2025-08-07T15:57:55Z</dcterms:created>
  <dc:creator/>
  <dc:description/>
  <dc:language>ru-RU</dc:language>
  <cp:lastModifiedBy/>
  <dcterms:modified xsi:type="dcterms:W3CDTF">2025-08-07T15:59:56Z</dcterms:modified>
  <cp:revision>1</cp:revision>
  <dc:subject/>
  <dc:title/>
</cp:coreProperties>
</file>