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5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076"/>
        <w:gridCol w:w="4279"/>
      </w:tblGrid>
      <w:tr>
        <w:trPr/>
        <w:tc>
          <w:tcPr>
            <w:tcW w:w="507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3067050" cy="876300"/>
                  <wp:effectExtent l="0" t="0" r="0" b="0"/>
                  <wp:docPr id="1" name="Рисунок 1" descr="D:\Documents\ТГУ\logotipy_jpg\логотипы ТГУ 2022_основной.jpg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D:\Documents\ТГУ\logotipy_jpg\логотипы ТГУ 2022_основной.jpg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end"/>
              <w:rPr>
                <w:rFonts w:ascii="Verdana" w:hAnsi="Verdana"/>
                <w:b/>
                <w:color w:val="1F497D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203835</wp:posOffset>
                  </wp:positionV>
                  <wp:extent cx="476250" cy="486410"/>
                  <wp:effectExtent l="0" t="0" r="0" b="0"/>
                  <wp:wrapTopAndBottom/>
                  <wp:docPr id="2" name="Рисунок 8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8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50696" t="15352" r="34851" b="58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color w:val="1F497D"/>
                <w:sz w:val="24"/>
                <w:szCs w:val="24"/>
              </w:rPr>
              <w:t>Тольятти</w:t>
            </w:r>
          </w:p>
          <w:p>
            <w:pPr>
              <w:pStyle w:val="Normal"/>
              <w:bidi w:val="0"/>
              <w:spacing w:lineRule="auto" w:line="240" w:before="0" w:after="0"/>
              <w:jc w:val="end"/>
              <w:rPr>
                <w:rFonts w:ascii="Verdana" w:hAnsi="Verdana"/>
                <w:b/>
                <w:color w:val="1F497D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497D"/>
                <w:sz w:val="24"/>
                <w:szCs w:val="24"/>
              </w:rPr>
              <w:t>Белорусская, 14</w:t>
            </w:r>
          </w:p>
          <w:p>
            <w:pPr>
              <w:pStyle w:val="Normal"/>
              <w:bidi w:val="0"/>
              <w:spacing w:lineRule="auto" w:line="240" w:before="0" w:after="0"/>
              <w:jc w:val="end"/>
              <w:rPr>
                <w:rFonts w:ascii="Verdana" w:hAnsi="Verdana"/>
                <w:b/>
                <w:color w:val="1F497D"/>
                <w:sz w:val="24"/>
                <w:szCs w:val="24"/>
              </w:rPr>
            </w:pPr>
            <w:r>
              <w:rPr>
                <w:rFonts w:ascii="Verdana" w:hAnsi="Verdana"/>
                <w:b/>
                <w:color w:val="1F497D"/>
                <w:sz w:val="24"/>
                <w:szCs w:val="24"/>
              </w:rPr>
              <w:t>8 8482 44-93-92</w:t>
            </w:r>
          </w:p>
          <w:p>
            <w:pPr>
              <w:pStyle w:val="Normal"/>
              <w:bidi w:val="0"/>
              <w:spacing w:lineRule="auto" w:line="240" w:before="0" w:after="0"/>
              <w:jc w:val="end"/>
              <w:rPr>
                <w:sz w:val="24"/>
                <w:szCs w:val="24"/>
              </w:rPr>
            </w:pPr>
            <w:r>
              <w:rPr>
                <w:rFonts w:ascii="Verdana" w:hAnsi="Verdana"/>
                <w:b/>
                <w:color w:val="1F497D"/>
                <w:sz w:val="24"/>
                <w:szCs w:val="24"/>
              </w:rPr>
              <w:t>press.tgu@yandex.ru</w:t>
            </w:r>
          </w:p>
        </w:tc>
      </w:tr>
    </w:tbl>
    <w:p>
      <w:pPr>
        <w:pStyle w:val="Normal"/>
        <w:bidi w:val="0"/>
        <w:spacing w:lineRule="auto" w:line="240"/>
        <w:jc w:val="center"/>
        <w:rPr>
          <w:rFonts w:ascii="Cambria" w:hAnsi="Cambria"/>
          <w:b/>
          <w:color w:val="1F497D"/>
          <w:sz w:val="24"/>
          <w:szCs w:val="24"/>
        </w:rPr>
      </w:pPr>
      <w:r>
        <w:rPr>
          <w:rFonts w:ascii="Cambria" w:hAnsi="Cambria"/>
          <w:b/>
          <w:color w:val="1F497D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284"/>
        <w:jc w:val="center"/>
        <w:rPr>
          <w:rFonts w:ascii="Verdana" w:hAnsi="Verdana"/>
          <w:b/>
          <w:bCs/>
          <w:color w:val="1F497D"/>
          <w:sz w:val="24"/>
          <w:szCs w:val="24"/>
        </w:rPr>
      </w:pPr>
      <w:r>
        <w:rPr>
          <w:rFonts w:ascii="Verdana" w:hAnsi="Verdana"/>
          <w:b/>
          <w:bCs/>
          <w:color w:val="1F497D"/>
          <w:sz w:val="24"/>
          <w:szCs w:val="24"/>
        </w:rPr>
      </w:r>
    </w:p>
    <w:p>
      <w:pPr>
        <w:pStyle w:val="NormalWeb"/>
        <w:bidi w:val="0"/>
        <w:spacing w:before="0" w:after="0"/>
        <w:jc w:val="center"/>
        <w:rPr>
          <w:rFonts w:ascii="Verdana" w:hAnsi="Verdana" w:eastAsia="Calibri"/>
          <w:b/>
          <w:bCs/>
          <w:color w:val="1F497D"/>
          <w:lang w:eastAsia="en-US"/>
        </w:rPr>
      </w:pPr>
      <w:r>
        <w:rPr>
          <w:rFonts w:eastAsia="Calibri" w:ascii="Verdana" w:hAnsi="Verdana"/>
          <w:b/>
          <w:bCs/>
          <w:color w:val="1F497D"/>
          <w:lang w:eastAsia="en-US"/>
        </w:rPr>
        <w:t xml:space="preserve">Подведены промежуточные итоги приемной кампании </w:t>
      </w:r>
    </w:p>
    <w:p>
      <w:pPr>
        <w:pStyle w:val="NormalWeb"/>
        <w:bidi w:val="0"/>
        <w:spacing w:before="0" w:after="0"/>
        <w:jc w:val="both"/>
        <w:rPr>
          <w:rFonts w:ascii="Verdana" w:hAnsi="Verdana" w:eastAsia="Calibri"/>
          <w:b/>
          <w:bCs/>
          <w:color w:val="1F497D"/>
          <w:lang w:eastAsia="en-US"/>
        </w:rPr>
      </w:pPr>
      <w:r>
        <w:rPr>
          <w:rFonts w:eastAsia="Calibri" w:ascii="Verdana" w:hAnsi="Verdana"/>
          <w:b/>
          <w:bCs/>
          <w:color w:val="1F497D"/>
          <w:lang w:eastAsia="en-US"/>
        </w:rPr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Тольяттинском госуниверситете конкурс по заявлениям от абитуриентов на бюджетные места бакалавриата и специалитета в 2025 году по сравнению с прошлым годом вырос на 26,4% и достиг уровня 9,44 заявлений на место.</w:t>
      </w:r>
    </w:p>
    <w:p>
      <w:pPr>
        <w:pStyle w:val="BodyText"/>
        <w:bidi w:val="0"/>
        <w:spacing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В этом году 6730 заявлений поступило на 713 бюджетных мест.</w:t>
      </w:r>
    </w:p>
    <w:p>
      <w:pPr>
        <w:pStyle w:val="BodyText"/>
        <w:bidi w:val="0"/>
        <w:spacing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spacing w:before="0" w:after="0"/>
        <w:jc w:val="start"/>
        <w:rPr/>
      </w:pPr>
      <w:r>
        <w:rPr>
          <w:rFonts w:ascii="Times New Roman" w:hAnsi="Times New Roman"/>
          <w:sz w:val="24"/>
          <w:szCs w:val="24"/>
        </w:rPr>
        <w:t>– </w:t>
      </w:r>
      <w:r>
        <w:rPr>
          <w:rStyle w:val="Emphasis"/>
          <w:rFonts w:ascii="Times New Roman" w:hAnsi="Times New Roman"/>
          <w:sz w:val="24"/>
          <w:szCs w:val="24"/>
        </w:rPr>
        <w:t>Мы запустили несколько новых образовательных программ, и они были популярны у абитуриентов. Например, на «Проектирование и эксплуатация беспилотных летательных аппаратов» на 12 бюджетных мест подано 214 заявлений выпускников школ. На 15 мест программы «Интеллектуальные производственные системы и автоматизированные технологии» претендовали 224 абитуриента. Обе эти программы реализуются совместно с индустриальными партнерами. В первом случае с ООО «Транспорт будущего Самара», во втором – с генеральным партнером Передовой инженерной школы «Гибридные и комбинированные технологии» ТГУ компанией «АВТОВАЗ». Оба индустриальных партнера – лидеры в своих отраслях и такой интерес со стороны абитуриентов к программам подготовки не случаен</w:t>
      </w:r>
      <w:r>
        <w:rPr>
          <w:rFonts w:ascii="Times New Roman" w:hAnsi="Times New Roman"/>
          <w:sz w:val="24"/>
          <w:szCs w:val="24"/>
        </w:rPr>
        <w:t>, –  сообщила проректор по учебной работе ТГУ </w:t>
      </w:r>
      <w:r>
        <w:rPr>
          <w:rFonts w:ascii="Times New Roman" w:hAnsi="Times New Roman"/>
          <w:b/>
          <w:sz w:val="24"/>
          <w:szCs w:val="24"/>
        </w:rPr>
        <w:t>Эльмира Бабошина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партнерстве с фармацевтической компанией «Озон» стартовала программа «Медицинская и фармацевтическая химия». Конкурс по заявлениям составил 4,6 человек на место. Востребованы в 2025 году программы в области ИТ по разработке программного обеспечения, искусственному интеллекту и большим данным, прикладной информатике в информационной безопасности.  Большой интерес и к творческим специальностям, например, журналистике, дизайну, медиа-арту и анимации, а также арт-педагогике и креативным индустриям. 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48% увеличился целевой набор. Основные заказчики целевого обучения в этом году – Минпромторг Самарской области (для АО «АВТОВАЗ»), ПАО «КуйбышевАзот», Министерство энергетики и ЖКХ СО (Самарский филиал ПАО «Т-плюс»). По отдельной квоте для участников и детей участников Специальной военной операции зачислено 23 человека, всего в университете обучаются 142 участника специальной военной операции.</w:t>
      </w:r>
    </w:p>
    <w:p>
      <w:pPr>
        <w:pStyle w:val="BodyText"/>
        <w:bidi w:val="0"/>
        <w:ind w:hanging="0" w:start="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Абитуриенты все чаще используют цифровые сервисы для поступления, отмечают в центре маркетинга ТГУ. Более 90% поступающих в ТГУ на очную форму подали заявление через Госуслуги. Более 1000 консультаций получили абитуриенты в группе для Абитуриентов ТГУ и в личных чатах в социальной сети ВКонтакте.</w:t>
      </w:r>
    </w:p>
    <w:p>
      <w:pPr>
        <w:pStyle w:val="BodyText"/>
        <w:bidi w:val="0"/>
        <w:ind w:hanging="0" w:start="0" w:end="0"/>
        <w:jc w:val="start"/>
        <w:rPr>
          <w:rFonts w:ascii="Verdana" w:hAnsi="Verdana"/>
          <w:b w:val="false"/>
          <w:bCs w:val="false"/>
          <w:sz w:val="24"/>
          <w:szCs w:val="24"/>
        </w:rPr>
      </w:pPr>
      <w:bookmarkStart w:id="0" w:name="_GoBack"/>
      <w:bookmarkEnd w:id="0"/>
      <w:r>
        <w:rPr>
          <w:rFonts w:eastAsia="Cambria" w:cs="Cambria" w:ascii="Verdana" w:hAnsi="Verdana"/>
          <w:b w:val="false"/>
          <w:bCs w:val="false"/>
          <w:iCs/>
          <w:color w:val="212529"/>
          <w:sz w:val="24"/>
          <w:szCs w:val="24"/>
          <w:shd w:fill="FFFFFF" w:val="clear"/>
          <w:lang w:eastAsia="ru-RU"/>
        </w:rPr>
        <w:t>Прием заявлений в Тольяттинский государственный университет продолжается. По отдельным направлениям будет объявлен дополнительный набор на бюджетные места, информация будет размещена на сайте университета 12 августа.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Verdana" w:hAnsi="Verdana"/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Verdana">
    <w:charset w:val="cc" w:characterSet="windows-1251"/>
    <w:family w:val="swiss"/>
    <w:pitch w:val="variable"/>
  </w:font>
  <w:font w:name="Cambria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Emphasis">
    <w:name w:val="Emphasis"/>
    <w:qFormat/>
    <w:rPr>
      <w:i/>
      <w:i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LibreOffice/25.2.4.3$Windows_X86_64 LibreOffice_project/33e196637044ead23f5c3226cde09b47731f7e27</Application>
  <AppVersion>15.0000</AppVersion>
  <Pages>2</Pages>
  <Words>333</Words>
  <Characters>2262</Characters>
  <CharactersWithSpaces>2593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2025-08-12T08:47:46Z</dcterms:created>
  <dc:creator/>
  <dc:description/>
  <dc:language>ru-RU</dc:language>
  <cp:lastModifiedBy/>
  <dcterms:modified xsi:type="dcterms:W3CDTF">2025-08-12T08:49:34Z</dcterms:modified>
  <cp:revision>1</cp:revision>
  <dc:subject/>
  <dc:title/>
</cp:coreProperties>
</file>