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rPr>
          <w:highlight w:val="none"/>
          <w14:ligatures w14:val="none"/>
        </w:rPr>
      </w:pPr>
      <w:r>
        <w:rPr>
          <w:highlight w:val="none"/>
        </w:rPr>
        <w:t xml:space="preserve">Для Федеральных СМИ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0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Портал бронирования Санатории-России.рф представил рейтинг самых популярных регионов страны для санаторно-курортного отдыха по итогам </w:t>
      </w:r>
      <w:r>
        <w:t xml:space="preserve">первого полугодия</w:t>
      </w:r>
      <w:r>
        <w:t xml:space="preserve"> 2025 года. Рейтинг составлен на основании следующих данных: количество отдохнувших в санаториях, загрузка номерного фонда и доходы региона от санаторно-курортной отрасли с января по июнь текущего года.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 данным Санатории-России.рф, к</w:t>
      </w:r>
      <w:r>
        <w:rPr>
          <w:highlight w:val="none"/>
        </w:rPr>
        <w:t xml:space="preserve">оличество гостей санаториев страны </w:t>
      </w:r>
      <w:r>
        <w:t xml:space="preserve">в первом полугодии 2025 года</w:t>
      </w:r>
      <w:r>
        <w:rPr>
          <w:highlight w:val="none"/>
        </w:rPr>
        <w:t xml:space="preserve"> увеличилось на 0,8% и составило </w:t>
      </w:r>
      <w:r>
        <w:rPr>
          <w:highlight w:val="none"/>
        </w:rPr>
        <w:t xml:space="preserve">3 млн 174 </w:t>
      </w:r>
      <w:r>
        <w:rPr>
          <w:highlight w:val="none"/>
        </w:rPr>
        <w:t xml:space="preserve">тысяч человек. </w:t>
      </w:r>
      <w:r>
        <w:rPr>
          <w14:ligatures w14:val="none"/>
        </w:rPr>
        <w:t xml:space="preserve">Загрузка российского санаторно-курортного номерного фонда на уровне 37%, а доходы приблизились к отметке в 103 млрд рублей.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Первое место в ТОП-25 по </w:t>
      </w:r>
      <w:r>
        <w:t xml:space="preserve">числу отдохнувших в санаториях </w:t>
      </w:r>
      <w:r>
        <w:rPr>
          <w:highlight w:val="none"/>
        </w:rPr>
        <w:t xml:space="preserve">занял Краснодарский край – здесь за пол</w:t>
      </w:r>
      <w:r>
        <w:rPr>
          <w:highlight w:val="none"/>
        </w:rPr>
        <w:t xml:space="preserve">года отдохнуло более 600 тысяч человек, </w:t>
      </w:r>
      <w:r>
        <w:t xml:space="preserve"> </w:t>
      </w:r>
      <w:r>
        <w:t xml:space="preserve">что на 5% меньше,</w:t>
      </w:r>
      <w:r>
        <w:t xml:space="preserve"> чем в 2024 году в аналогичный период</w:t>
      </w:r>
      <w:r>
        <w:t xml:space="preserve">. По доходам от санаторно-курортной отрасли регион занимает второе место - 22 млрд. рублей, при этом загрузка номерного фонда составила 30%.</w:t>
      </w:r>
      <w:r>
        <w:rPr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На втором месте рейтинга Ставропольский край – более 400 тысяч отдохнувших с января по июнь текущего года, что на 3,7% больше, чем </w:t>
      </w:r>
      <w:r>
        <w:t xml:space="preserve">в 2024 году в аналогичный период</w:t>
      </w:r>
      <w:r>
        <w:t xml:space="preserve">.</w:t>
      </w:r>
      <w:r>
        <w:rPr>
          <w:highlight w:val="none"/>
        </w:rPr>
        <w:t xml:space="preserve"> По доходам от </w:t>
      </w:r>
      <w:r>
        <w:t xml:space="preserve">санаторно-курортной отрасли регион занимает первое место - 25 млрд. рублей при загрузке номерного фонда в </w:t>
      </w:r>
      <w:r>
        <w:rPr>
          <w:highlight w:val="none"/>
        </w:rPr>
        <w:t xml:space="preserve">64,5%.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0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Третье место в ТОП-25 по </w:t>
      </w:r>
      <w:r>
        <w:t xml:space="preserve">числу отдохнувших в санаториях</w:t>
      </w:r>
      <w:r>
        <w:rPr>
          <w:highlight w:val="none"/>
        </w:rPr>
        <w:t xml:space="preserve"> Республики Крым – в первом полугодии 2025 года в местных здравницах отдохнули более 250 тысяч человек, что на 19% больше, чем </w:t>
      </w:r>
      <w:r>
        <w:t xml:space="preserve">в 2024 году в аналогичный период</w:t>
      </w:r>
      <w:r>
        <w:t xml:space="preserve">.</w:t>
      </w:r>
      <w:r>
        <w:rPr>
          <w:highlight w:val="none"/>
        </w:rPr>
        <w:t xml:space="preserve"> По доходам от </w:t>
      </w:r>
      <w:r>
        <w:t xml:space="preserve">санаторно-курортной отрасли регион занимает</w:t>
      </w:r>
      <w:r>
        <w:t xml:space="preserve"> третье место - 6 млрд. 700 тысяч рублей, при этом загрузка номерного фонда составила 31%.</w:t>
      </w:r>
      <w:r>
        <w:rPr>
          <w:highlight w:val="none"/>
          <w14:ligatures w14:val="none"/>
        </w:rPr>
      </w:r>
    </w:p>
    <w:p>
      <w:pPr>
        <w:ind w:left="0" w:right="0" w:firstLine="0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Первая тройка рейтинга федеральных округов по количеству отдохнувших в первое полугодие 2025 года выглядит так: ЮФО - 920 тысяч, что на 0,6% больше, чем </w:t>
      </w:r>
      <w:r>
        <w:t xml:space="preserve">в 2024 году в аналогичный период</w:t>
      </w:r>
      <w:r>
        <w:t xml:space="preserve">; </w:t>
      </w:r>
      <w:r>
        <w:t xml:space="preserve">ПФО - 570 тысяч отдохнувших, что на 0,1% больше, </w:t>
      </w:r>
      <w:r>
        <w:t xml:space="preserve">чем </w:t>
      </w:r>
      <w:r>
        <w:t xml:space="preserve">в 2024 году в аналогичный период</w:t>
      </w:r>
      <w:r>
        <w:t xml:space="preserve">; </w:t>
      </w:r>
      <w:r>
        <w:t xml:space="preserve"> СКФО - 450 тысяч отдохнувших, что на 4,1% больше, </w:t>
      </w:r>
      <w:r>
        <w:t xml:space="preserve">чем </w:t>
      </w:r>
      <w:r>
        <w:t xml:space="preserve">в 2024 году в аналогичный период</w:t>
      </w:r>
      <w: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  <w:t xml:space="preserve">Загрузка выше всего в номерном фонде Калининградской области – 68,6%, в Мурманской области - 66,4% и в Крыму - 64,5%.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По словам члена Правления Национальной Курортной ассоциации Евгения Терентьева</w:t>
      </w:r>
      <w:r>
        <w:rPr>
          <w:highlight w:val="none"/>
        </w:rPr>
        <w:t xml:space="preserve">, н</w:t>
      </w:r>
      <w:r>
        <w:rPr>
          <w:highlight w:val="white"/>
        </w:rPr>
        <w:t xml:space="preserve">есмотря на высокий спрос, ситуацию в отрасли можно описать как тревожную. Он считает, что причинами спада являются высокие цены на услуги санаториев, которые становятся недоступными для значительной части населения. Также он отметил рост конкуренции со ст</w:t>
      </w:r>
      <w:r>
        <w:rPr>
          <w:highlight w:val="white"/>
        </w:rPr>
        <w:t xml:space="preserve">ороны зарубежных направлений, предлагающих более выгодные условия. Дополнительной причиной он назвал недостаточную модернизацию инфраструктуры и сервиса в отечественных санаториях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hyperlink r:id="rId8" w:tooltip="https://санатории-россии.рф/блог/итоги-первого-полугодия-2025-года" w:history="1">
        <w:r>
          <w:rPr>
            <w:rStyle w:val="812"/>
            <w14:ligatures w14:val="none"/>
          </w:rPr>
          <w:t xml:space="preserve">https://санатории-россии.рф/блог/итоги-первого-полугодия-2025-года</w:t>
        </w:r>
        <w:r>
          <w:rPr>
            <w:rStyle w:val="812"/>
            <w14:ligatures w14:val="none"/>
          </w:rPr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9;&#1072;&#1085;&#1072;&#1090;&#1086;&#1088;&#1080;&#1080;-&#1088;&#1086;&#1089;&#1089;&#1080;&#1080;.&#1088;&#1092;/&#1073;&#1083;&#1086;&#1075;/&#1080;&#1090;&#1086;&#1075;&#1080;-&#1087;&#1077;&#1088;&#1074;&#1086;&#1075;&#1086;-&#1087;&#1086;&#1083;&#1091;&#1075;&#1086;&#1076;&#1080;&#1103;-2025-&#1075;&#1086;&#1076;&#107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 Терентьев</cp:lastModifiedBy>
  <cp:revision>4</cp:revision>
  <dcterms:modified xsi:type="dcterms:W3CDTF">2025-08-20T08:27:14Z</dcterms:modified>
</cp:coreProperties>
</file>