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4B6C3" w14:textId="77777777" w:rsidR="00AE2C7F" w:rsidRDefault="001C0C31">
      <w:pPr>
        <w:widowControl/>
        <w:ind w:firstLine="72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ПРЕСС-РЕЛИЗ</w:t>
      </w:r>
      <w:bookmarkStart w:id="0" w:name="_GoBack"/>
      <w:bookmarkEnd w:id="0"/>
    </w:p>
    <w:p w14:paraId="0A24650F" w14:textId="77777777" w:rsidR="00AE2C7F" w:rsidRDefault="00AE2C7F">
      <w:pPr>
        <w:widowControl/>
        <w:ind w:firstLine="709"/>
        <w:rPr>
          <w:b/>
          <w:bCs/>
          <w:sz w:val="24"/>
          <w:szCs w:val="24"/>
          <w:lang w:eastAsia="ru-RU"/>
        </w:rPr>
      </w:pPr>
    </w:p>
    <w:p w14:paraId="31459AA3" w14:textId="77777777" w:rsidR="00AE2C7F" w:rsidRDefault="001C0C31">
      <w:pPr>
        <w:ind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Будущее HR в России: ИИ, рынок труда и опыт лидеров на WOW PRO 2025.</w:t>
      </w:r>
    </w:p>
    <w:p w14:paraId="564A1CCE" w14:textId="77777777" w:rsidR="00AE2C7F" w:rsidRDefault="00AE2C7F">
      <w:pPr>
        <w:ind w:firstLine="709"/>
        <w:jc w:val="both"/>
        <w:rPr>
          <w:i/>
          <w:iCs/>
          <w:sz w:val="24"/>
          <w:szCs w:val="24"/>
          <w:lang w:eastAsia="ru-RU"/>
        </w:rPr>
      </w:pPr>
    </w:p>
    <w:p w14:paraId="743FF083" w14:textId="5BDB5879" w:rsidR="00AE2C7F" w:rsidRDefault="007F5D11">
      <w:pPr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14 августа 2025 года</w:t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</w:r>
      <w:r>
        <w:rPr>
          <w:i/>
          <w:iCs/>
          <w:sz w:val="24"/>
          <w:szCs w:val="24"/>
          <w:lang w:eastAsia="ru-RU"/>
        </w:rPr>
        <w:tab/>
        <w:t xml:space="preserve">г. Москва. </w:t>
      </w:r>
    </w:p>
    <w:p w14:paraId="53FABE16" w14:textId="77777777" w:rsidR="00AE2C7F" w:rsidRDefault="00AE2C7F">
      <w:pPr>
        <w:ind w:firstLine="709"/>
        <w:jc w:val="both"/>
        <w:rPr>
          <w:i/>
          <w:iCs/>
          <w:sz w:val="24"/>
          <w:szCs w:val="24"/>
          <w:lang w:eastAsia="ru-RU"/>
        </w:rPr>
      </w:pPr>
    </w:p>
    <w:p w14:paraId="555B2C6E" w14:textId="67C8BD0C" w:rsidR="00AE2C7F" w:rsidRPr="00AA0C61" w:rsidRDefault="001C0C31">
      <w:pPr>
        <w:ind w:firstLine="709"/>
        <w:jc w:val="both"/>
        <w:rPr>
          <w:sz w:val="24"/>
          <w:szCs w:val="24"/>
          <w:lang w:eastAsia="ru-RU"/>
        </w:rPr>
      </w:pPr>
      <w:r w:rsidRPr="00AA0C61">
        <w:rPr>
          <w:sz w:val="24"/>
          <w:szCs w:val="24"/>
          <w:lang w:eastAsia="ru-RU"/>
        </w:rPr>
        <w:t>Как искусственный интеллект меняет управление персоналом? Как бизнесу отвечать на вызовы рынка труда? Какие решения уже работают в</w:t>
      </w:r>
      <w:r w:rsidRPr="00AA0C61">
        <w:rPr>
          <w:sz w:val="24"/>
          <w:szCs w:val="24"/>
          <w:lang w:eastAsia="ru-RU"/>
        </w:rPr>
        <w:t xml:space="preserve"> российских компаниях? Ответы на эти вопросы даст главное событие года для HR-профессионалов и представителей бизнеса - V ежегодная конференция, премия и экспо WOW PRO</w:t>
      </w:r>
      <w:r w:rsidR="00A219E6">
        <w:rPr>
          <w:sz w:val="24"/>
          <w:szCs w:val="24"/>
          <w:lang w:eastAsia="ru-RU"/>
        </w:rPr>
        <w:t xml:space="preserve">, которая состоится </w:t>
      </w:r>
      <w:r w:rsidR="00A219E6" w:rsidRPr="00A219E6">
        <w:rPr>
          <w:b/>
          <w:bCs/>
          <w:sz w:val="24"/>
          <w:szCs w:val="24"/>
          <w:lang w:eastAsia="ru-RU"/>
        </w:rPr>
        <w:t>29 сентября 2025 года в г. Москва</w:t>
      </w:r>
      <w:r w:rsidR="00A219E6">
        <w:rPr>
          <w:sz w:val="24"/>
          <w:szCs w:val="24"/>
          <w:lang w:eastAsia="ru-RU"/>
        </w:rPr>
        <w:t>.</w:t>
      </w:r>
    </w:p>
    <w:p w14:paraId="25C45B05" w14:textId="77777777" w:rsidR="00AE2C7F" w:rsidRDefault="001C0C3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WOW PRO</w:t>
      </w:r>
      <w:r>
        <w:rPr>
          <w:sz w:val="24"/>
          <w:szCs w:val="24"/>
        </w:rPr>
        <w:t xml:space="preserve"> предлагает насыщенную прог</w:t>
      </w:r>
      <w:r>
        <w:rPr>
          <w:sz w:val="24"/>
          <w:szCs w:val="24"/>
        </w:rPr>
        <w:t>рамму, погружает в мир вдохновляющих историй успеха, открывает новые горизонты благодаря выступлениям представителей крупнейших компаний страны и лучших провайдеров услуг в сфере управления персоналом.</w:t>
      </w:r>
    </w:p>
    <w:p w14:paraId="78E4873C" w14:textId="77777777" w:rsidR="00AE2C7F" w:rsidRDefault="001C0C31">
      <w:pPr>
        <w:widowControl/>
        <w:ind w:firstLine="709"/>
        <w:jc w:val="both"/>
        <w:rPr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«Рынок труда меняется быстрее, чем когда-либо. Внедрен</w:t>
      </w:r>
      <w:r>
        <w:rPr>
          <w:bCs/>
          <w:i/>
          <w:sz w:val="24"/>
          <w:szCs w:val="24"/>
          <w:lang w:eastAsia="ru-RU"/>
        </w:rPr>
        <w:t>ие ИИ, трансформация процессов и новые ожидания сотрудников требуют от бизнеса гибкости и смелости. WOW PRO 2025 - это место, где лучшие эксперты и лидеры компаний обсуждают, как превратить эти вызовы в возможности для роста», - отмечает Гоар Ананян, основ</w:t>
      </w:r>
      <w:r>
        <w:rPr>
          <w:bCs/>
          <w:i/>
          <w:sz w:val="24"/>
          <w:szCs w:val="24"/>
          <w:lang w:eastAsia="ru-RU"/>
        </w:rPr>
        <w:t xml:space="preserve">атель и </w:t>
      </w:r>
      <w:proofErr w:type="spellStart"/>
      <w:r>
        <w:rPr>
          <w:bCs/>
          <w:i/>
          <w:sz w:val="24"/>
          <w:szCs w:val="24"/>
          <w:lang w:eastAsia="ru-RU"/>
        </w:rPr>
        <w:t>CEO</w:t>
      </w:r>
      <w:proofErr w:type="spellEnd"/>
      <w:r>
        <w:rPr>
          <w:bCs/>
          <w:i/>
          <w:sz w:val="24"/>
          <w:szCs w:val="24"/>
          <w:lang w:eastAsia="ru-RU"/>
        </w:rPr>
        <w:t xml:space="preserve"> WOW GROUP.</w:t>
      </w:r>
    </w:p>
    <w:p w14:paraId="72250061" w14:textId="77777777" w:rsidR="00AE2C7F" w:rsidRDefault="00AE2C7F">
      <w:pPr>
        <w:widowControl/>
        <w:ind w:firstLine="709"/>
        <w:jc w:val="both"/>
        <w:rPr>
          <w:sz w:val="14"/>
          <w:szCs w:val="14"/>
          <w:lang w:eastAsia="ru-RU"/>
        </w:rPr>
      </w:pPr>
    </w:p>
    <w:p w14:paraId="108C858C" w14:textId="77777777" w:rsidR="00AE2C7F" w:rsidRDefault="001C0C31">
      <w:pPr>
        <w:widowControl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Что ждет участников мероприятия:</w:t>
      </w:r>
    </w:p>
    <w:p w14:paraId="79EC0C85" w14:textId="77777777" w:rsidR="00AE2C7F" w:rsidRDefault="001C0C31">
      <w:pPr>
        <w:pStyle w:val="af6"/>
        <w:widowControl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Выставка провайдеров услуг в сфере управления персоналом, </w:t>
      </w:r>
      <w:r>
        <w:rPr>
          <w:bCs/>
          <w:sz w:val="24"/>
          <w:szCs w:val="24"/>
          <w:lang w:eastAsia="ru-RU"/>
        </w:rPr>
        <w:t>где можно будет ознакомиться с российскими разработками и технологиями для HR-индустрии и рынка труда;</w:t>
      </w:r>
    </w:p>
    <w:p w14:paraId="6FA94126" w14:textId="77777777" w:rsidR="00AE2C7F" w:rsidRDefault="001C0C31">
      <w:pPr>
        <w:pStyle w:val="af6"/>
        <w:widowControl/>
        <w:numPr>
          <w:ilvl w:val="0"/>
          <w:numId w:val="8"/>
        </w:numPr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Конференция – </w:t>
      </w:r>
      <w:r>
        <w:rPr>
          <w:bCs/>
          <w:sz w:val="24"/>
          <w:szCs w:val="24"/>
          <w:lang w:eastAsia="ru-RU"/>
        </w:rPr>
        <w:t>место встречи</w:t>
      </w:r>
      <w:r>
        <w:rPr>
          <w:sz w:val="24"/>
          <w:szCs w:val="24"/>
          <w:lang w:eastAsia="ru-RU"/>
        </w:rPr>
        <w:t xml:space="preserve"> для обмена передовым опытом экспертов и специалистов различного уровня со всех уголков страны. Выступят представители крупнейших компаний страны и рассмотрят такие актуальные вопросы современной кадровой работы как управление текучестью персонала, работа </w:t>
      </w:r>
      <w:r>
        <w:rPr>
          <w:sz w:val="24"/>
          <w:szCs w:val="24"/>
          <w:lang w:eastAsia="ru-RU"/>
        </w:rPr>
        <w:t xml:space="preserve">с брендом работодателя, работа с вовлеченностью персонала, работа с молодежью, </w:t>
      </w:r>
      <w:proofErr w:type="spellStart"/>
      <w:r>
        <w:rPr>
          <w:sz w:val="24"/>
          <w:szCs w:val="24"/>
          <w:lang w:eastAsia="ru-RU"/>
        </w:rPr>
        <w:t>найм</w:t>
      </w:r>
      <w:proofErr w:type="spellEnd"/>
      <w:r>
        <w:rPr>
          <w:sz w:val="24"/>
          <w:szCs w:val="24"/>
          <w:lang w:eastAsia="ru-RU"/>
        </w:rPr>
        <w:t xml:space="preserve"> и удержание персонала, работа с благополучием сотрудников;</w:t>
      </w:r>
    </w:p>
    <w:p w14:paraId="4B35524E" w14:textId="77777777" w:rsidR="00AE2C7F" w:rsidRDefault="001C0C31">
      <w:pPr>
        <w:pStyle w:val="af6"/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Панельные дискуссии, </w:t>
      </w:r>
      <w:r>
        <w:rPr>
          <w:bCs/>
          <w:sz w:val="24"/>
          <w:szCs w:val="24"/>
          <w:lang w:eastAsia="ru-RU"/>
        </w:rPr>
        <w:t xml:space="preserve">на которых обсудят темы внедрения </w:t>
      </w:r>
      <w:r>
        <w:rPr>
          <w:color w:val="000000"/>
          <w:sz w:val="24"/>
          <w:szCs w:val="24"/>
          <w:shd w:val="clear" w:color="auto" w:fill="FFFFFF"/>
        </w:rPr>
        <w:t>искусственного интеллекта для успешного решения задач кадр</w:t>
      </w:r>
      <w:r>
        <w:rPr>
          <w:color w:val="000000"/>
          <w:sz w:val="24"/>
          <w:szCs w:val="24"/>
          <w:shd w:val="clear" w:color="auto" w:fill="FFFFFF"/>
        </w:rPr>
        <w:t>овой работы и применения Meta-вселенной как инструмента обучения персонала;</w:t>
      </w:r>
    </w:p>
    <w:p w14:paraId="57A34BC8" w14:textId="77777777" w:rsidR="00AE2C7F" w:rsidRDefault="001C0C31">
      <w:pPr>
        <w:pStyle w:val="af6"/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Конкурс </w:t>
      </w:r>
      <w:r>
        <w:rPr>
          <w:sz w:val="24"/>
          <w:szCs w:val="24"/>
          <w:lang w:eastAsia="ru-RU"/>
        </w:rPr>
        <w:t>провайдеров услуг в сфере управления персоналом и торжественная церемония награждения победителей. Прием заявок на участие в конкурсе завершится 08 сентября 2025 года</w:t>
      </w:r>
      <w:r>
        <w:rPr>
          <w:b/>
          <w:bCs/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Лучш</w:t>
      </w:r>
      <w:r>
        <w:rPr>
          <w:sz w:val="24"/>
          <w:szCs w:val="24"/>
          <w:lang w:eastAsia="ru-RU"/>
        </w:rPr>
        <w:t>ие проекты будут оцениваться компетентным жюри по 8 номинациям:</w:t>
      </w:r>
    </w:p>
    <w:p w14:paraId="2E9F2281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Обучение и оценка сотрудников компаний;</w:t>
      </w:r>
    </w:p>
    <w:p w14:paraId="29FB8974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Разработка и внедрение IT-решений в сфере управления персоналом;</w:t>
      </w:r>
    </w:p>
    <w:p w14:paraId="31D4F1C5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>
        <w:rPr>
          <w:sz w:val="24"/>
          <w:szCs w:val="24"/>
          <w:lang w:eastAsia="ru-RU"/>
        </w:rPr>
        <w:t>Геймификация</w:t>
      </w:r>
      <w:proofErr w:type="spellEnd"/>
      <w:r>
        <w:rPr>
          <w:sz w:val="24"/>
          <w:szCs w:val="24"/>
          <w:lang w:eastAsia="ru-RU"/>
        </w:rPr>
        <w:t xml:space="preserve"> HR-процессов;</w:t>
      </w:r>
    </w:p>
    <w:p w14:paraId="514BE91C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Комплексные трансформационные проекты в сфере </w:t>
      </w:r>
      <w:r>
        <w:rPr>
          <w:sz w:val="24"/>
          <w:szCs w:val="24"/>
          <w:lang w:eastAsia="ru-RU"/>
        </w:rPr>
        <w:t>управления персоналом;</w:t>
      </w:r>
    </w:p>
    <w:p w14:paraId="683AA924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>
        <w:rPr>
          <w:sz w:val="24"/>
          <w:szCs w:val="24"/>
          <w:lang w:eastAsia="ru-RU"/>
        </w:rPr>
        <w:t>Wellbeing</w:t>
      </w:r>
      <w:proofErr w:type="spellEnd"/>
      <w:r>
        <w:rPr>
          <w:sz w:val="24"/>
          <w:szCs w:val="24"/>
          <w:lang w:eastAsia="ru-RU"/>
        </w:rPr>
        <w:t xml:space="preserve"> и улучшение здоровья сотрудников;</w:t>
      </w:r>
    </w:p>
    <w:p w14:paraId="2D77BF58" w14:textId="77777777" w:rsidR="00AE2C7F" w:rsidRDefault="001C0C31">
      <w:pPr>
        <w:pStyle w:val="af6"/>
        <w:widowControl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Мотивация, вовлечение и оценка персонала;</w:t>
      </w:r>
    </w:p>
    <w:p w14:paraId="65F450B5" w14:textId="77777777" w:rsidR="00AE2C7F" w:rsidRDefault="001C0C31">
      <w:pPr>
        <w:pStyle w:val="af6"/>
        <w:widowControl/>
        <w:ind w:left="709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Работа со школьниками, студентами и молодыми специалистами;</w:t>
      </w:r>
    </w:p>
    <w:p w14:paraId="68C9235E" w14:textId="77777777" w:rsidR="00AE2C7F" w:rsidRDefault="001C0C31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Привлечение сотрудников и эффективное позиционирование работодателя.</w:t>
      </w:r>
    </w:p>
    <w:p w14:paraId="075EB168" w14:textId="1EE225F8" w:rsidR="00AE2C7F" w:rsidRDefault="001C0C31">
      <w:pPr>
        <w:pStyle w:val="af6"/>
        <w:widowControl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Питч-сесси</w:t>
      </w:r>
      <w:r w:rsidR="00063ADB">
        <w:rPr>
          <w:b/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всех </w:t>
      </w:r>
      <w:r w:rsidR="00063ADB">
        <w:rPr>
          <w:sz w:val="24"/>
          <w:szCs w:val="24"/>
          <w:lang w:eastAsia="ru-RU"/>
        </w:rPr>
        <w:t>по</w:t>
      </w:r>
      <w:r>
        <w:rPr>
          <w:sz w:val="24"/>
          <w:szCs w:val="24"/>
          <w:lang w:eastAsia="ru-RU"/>
        </w:rPr>
        <w:t>знаком</w:t>
      </w:r>
      <w:r w:rsidR="00063ADB">
        <w:rPr>
          <w:sz w:val="24"/>
          <w:szCs w:val="24"/>
          <w:lang w:eastAsia="ru-RU"/>
        </w:rPr>
        <w:t>ит</w:t>
      </w:r>
      <w:r>
        <w:rPr>
          <w:sz w:val="24"/>
          <w:szCs w:val="24"/>
          <w:lang w:eastAsia="ru-RU"/>
        </w:rPr>
        <w:t xml:space="preserve"> с новыми игроками рынка и погру</w:t>
      </w:r>
      <w:r w:rsidR="00063ADB">
        <w:rPr>
          <w:sz w:val="24"/>
          <w:szCs w:val="24"/>
          <w:lang w:eastAsia="ru-RU"/>
        </w:rPr>
        <w:t xml:space="preserve">зит </w:t>
      </w:r>
      <w:r>
        <w:rPr>
          <w:sz w:val="24"/>
          <w:szCs w:val="24"/>
          <w:lang w:eastAsia="ru-RU"/>
        </w:rPr>
        <w:t xml:space="preserve">в практики ведущих </w:t>
      </w:r>
      <w:proofErr w:type="spellStart"/>
      <w:r>
        <w:rPr>
          <w:sz w:val="24"/>
          <w:szCs w:val="24"/>
          <w:lang w:eastAsia="ru-RU"/>
        </w:rPr>
        <w:t>PROвайдеров</w:t>
      </w:r>
      <w:proofErr w:type="spellEnd"/>
      <w:r>
        <w:rPr>
          <w:sz w:val="24"/>
          <w:szCs w:val="24"/>
          <w:lang w:eastAsia="ru-RU"/>
        </w:rPr>
        <w:t xml:space="preserve"> услуг в сфере управления персоналом;</w:t>
      </w:r>
    </w:p>
    <w:p w14:paraId="56C8979B" w14:textId="77777777" w:rsidR="00AE2C7F" w:rsidRDefault="001C0C31">
      <w:pPr>
        <w:pStyle w:val="af6"/>
        <w:widowControl/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Презентация результатов </w:t>
      </w:r>
      <w:r w:rsidRPr="00E83CF0">
        <w:rPr>
          <w:b/>
          <w:bCs/>
          <w:sz w:val="24"/>
          <w:szCs w:val="24"/>
          <w:lang w:eastAsia="ru-RU"/>
        </w:rPr>
        <w:t>в</w:t>
      </w:r>
      <w:r>
        <w:rPr>
          <w:b/>
          <w:bCs/>
          <w:sz w:val="24"/>
          <w:szCs w:val="24"/>
          <w:lang w:eastAsia="ru-RU"/>
        </w:rPr>
        <w:t>сероссийского исследования предпочтений на рынке услуг в сфере управления персоналом и рейтинга</w:t>
      </w:r>
      <w:r>
        <w:rPr>
          <w:sz w:val="24"/>
          <w:szCs w:val="24"/>
          <w:lang w:eastAsia="ru-RU"/>
        </w:rPr>
        <w:t xml:space="preserve"> </w:t>
      </w:r>
      <w:r w:rsidRPr="00E83CF0">
        <w:rPr>
          <w:b/>
          <w:bCs/>
          <w:sz w:val="24"/>
          <w:szCs w:val="24"/>
          <w:lang w:eastAsia="ru-RU"/>
        </w:rPr>
        <w:t>популярности п</w:t>
      </w:r>
      <w:r w:rsidRPr="00E83CF0">
        <w:rPr>
          <w:b/>
          <w:bCs/>
          <w:sz w:val="24"/>
          <w:szCs w:val="24"/>
          <w:lang w:eastAsia="ru-RU"/>
        </w:rPr>
        <w:t>ровайдеров услуг в сфере управления персоналом</w:t>
      </w:r>
      <w:r>
        <w:rPr>
          <w:sz w:val="24"/>
          <w:szCs w:val="24"/>
          <w:lang w:eastAsia="ru-RU"/>
        </w:rPr>
        <w:t xml:space="preserve"> от портала TheHRD.ru, призванного выявить лидеров рынка и оценить их востребованность.</w:t>
      </w:r>
    </w:p>
    <w:p w14:paraId="686CF152" w14:textId="77777777" w:rsidR="00AE2C7F" w:rsidRDefault="00AE2C7F">
      <w:pPr>
        <w:widowControl/>
        <w:tabs>
          <w:tab w:val="left" w:pos="0"/>
        </w:tabs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3672B2BA" w14:textId="77777777" w:rsidR="00AE2C7F" w:rsidRDefault="001C0C31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Регистрация на мероприятие</w:t>
      </w:r>
      <w:r>
        <w:rPr>
          <w:sz w:val="24"/>
          <w:szCs w:val="24"/>
          <w:lang w:eastAsia="ru-RU"/>
        </w:rPr>
        <w:t xml:space="preserve"> на сайте: </w:t>
      </w:r>
      <w:hyperlink r:id="rId8" w:history="1">
        <w:r>
          <w:rPr>
            <w:rStyle w:val="afd"/>
            <w:sz w:val="24"/>
            <w:szCs w:val="24"/>
            <w:lang w:eastAsia="ru-RU"/>
          </w:rPr>
          <w:t>https://wowpro.info/conf</w:t>
        </w:r>
      </w:hyperlink>
    </w:p>
    <w:p w14:paraId="693F5E89" w14:textId="77777777" w:rsidR="00AE2C7F" w:rsidRDefault="00AE2C7F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</w:p>
    <w:p w14:paraId="3F1AAD39" w14:textId="77777777" w:rsidR="00AE2C7F" w:rsidRDefault="001C0C31">
      <w:pPr>
        <w:widowControl/>
        <w:ind w:firstLine="709"/>
        <w:jc w:val="both"/>
      </w:pPr>
      <w:r>
        <w:rPr>
          <w:b/>
          <w:bCs/>
          <w:sz w:val="24"/>
          <w:szCs w:val="24"/>
          <w:lang w:eastAsia="ru-RU"/>
        </w:rPr>
        <w:t>Организатор:</w:t>
      </w:r>
      <w:r>
        <w:t xml:space="preserve"> компания WOW GROUP - занимается обучением и развитием бизнеса и HR через свои проекты в более чем 20 странах мира. Продукты WOW GROUP ориентированы на развитие бизнес-сообщества и экономики стран присутствия.</w:t>
      </w:r>
    </w:p>
    <w:p w14:paraId="7D743C6B" w14:textId="77777777" w:rsidR="00AE2C7F" w:rsidRPr="006658FB" w:rsidRDefault="001C0C31" w:rsidP="00712713">
      <w:pPr>
        <w:widowControl/>
        <w:ind w:firstLine="709"/>
        <w:jc w:val="both"/>
        <w:rPr>
          <w:shd w:val="clear" w:color="auto" w:fill="FFFFFF"/>
        </w:rPr>
      </w:pPr>
      <w:r>
        <w:t>По вопросам аккредитации СМИ, публикации пресс</w:t>
      </w:r>
      <w:r>
        <w:t>-релиза, информационного партнерства</w:t>
      </w:r>
      <w:r w:rsidR="009E2AE1">
        <w:t xml:space="preserve">: </w:t>
      </w:r>
      <w:r w:rsidR="009E2AE1">
        <w:br/>
      </w:r>
      <w:proofErr w:type="spellStart"/>
      <w:r>
        <w:rPr>
          <w:shd w:val="clear" w:color="auto" w:fill="FFFFFF"/>
        </w:rPr>
        <w:t>Малякина</w:t>
      </w:r>
      <w:proofErr w:type="spellEnd"/>
      <w:r>
        <w:rPr>
          <w:shd w:val="clear" w:color="auto" w:fill="FFFFFF"/>
        </w:rPr>
        <w:t xml:space="preserve"> Дарья,</w:t>
      </w:r>
      <w:r w:rsidR="00712713">
        <w:rPr>
          <w:shd w:val="clear" w:color="auto" w:fill="FFFFFF"/>
        </w:rPr>
        <w:t xml:space="preserve"> </w:t>
      </w:r>
      <w:r>
        <w:rPr>
          <w:shd w:val="clear" w:color="auto" w:fill="FFFFFF"/>
        </w:rPr>
        <w:t>PR-менеджер WOW GROUP</w:t>
      </w:r>
      <w:r w:rsidR="00712713">
        <w:rPr>
          <w:shd w:val="clear" w:color="auto" w:fill="FFFFFF"/>
        </w:rPr>
        <w:t>, телефон</w:t>
      </w:r>
      <w:r w:rsidRPr="00712713">
        <w:rPr>
          <w:shd w:val="clear" w:color="auto" w:fill="FFFFFF"/>
        </w:rPr>
        <w:t>: +7 (926) 529-99-03</w:t>
      </w:r>
      <w:r w:rsidR="00712713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E</w:t>
      </w:r>
      <w:r w:rsidRPr="00712713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mail</w:t>
      </w:r>
      <w:r w:rsidRPr="00712713">
        <w:rPr>
          <w:shd w:val="clear" w:color="auto" w:fill="FFFFFF"/>
        </w:rPr>
        <w:t xml:space="preserve">: </w:t>
      </w:r>
      <w:hyperlink r:id="rId9" w:history="1">
        <w:r w:rsidR="006658FB" w:rsidRPr="000F62A3">
          <w:rPr>
            <w:rStyle w:val="afd"/>
            <w:shd w:val="clear" w:color="auto" w:fill="FFFFFF"/>
            <w:lang w:val="en-US"/>
          </w:rPr>
          <w:t>pr</w:t>
        </w:r>
        <w:r w:rsidR="006658FB" w:rsidRPr="000F62A3">
          <w:rPr>
            <w:rStyle w:val="afd"/>
            <w:shd w:val="clear" w:color="auto" w:fill="FFFFFF"/>
          </w:rPr>
          <w:t>@</w:t>
        </w:r>
        <w:r w:rsidR="006658FB" w:rsidRPr="000F62A3">
          <w:rPr>
            <w:rStyle w:val="afd"/>
            <w:shd w:val="clear" w:color="auto" w:fill="FFFFFF"/>
            <w:lang w:val="en-US"/>
          </w:rPr>
          <w:t>wowgroup</w:t>
        </w:r>
        <w:r w:rsidR="006658FB" w:rsidRPr="000F62A3">
          <w:rPr>
            <w:rStyle w:val="afd"/>
            <w:shd w:val="clear" w:color="auto" w:fill="FFFFFF"/>
          </w:rPr>
          <w:t>.</w:t>
        </w:r>
        <w:r w:rsidR="006658FB" w:rsidRPr="000F62A3">
          <w:rPr>
            <w:rStyle w:val="afd"/>
            <w:shd w:val="clear" w:color="auto" w:fill="FFFFFF"/>
            <w:lang w:val="en-US"/>
          </w:rPr>
          <w:t>org</w:t>
        </w:r>
      </w:hyperlink>
    </w:p>
    <w:p w14:paraId="6F3ED778" w14:textId="77777777" w:rsidR="006658FB" w:rsidRPr="006658FB" w:rsidRDefault="006658FB" w:rsidP="00712713">
      <w:pPr>
        <w:widowControl/>
        <w:ind w:firstLine="709"/>
        <w:jc w:val="both"/>
        <w:rPr>
          <w:shd w:val="clear" w:color="auto" w:fill="FFFFFF"/>
        </w:rPr>
      </w:pPr>
    </w:p>
    <w:p w14:paraId="58DD0782" w14:textId="77777777" w:rsidR="00AE2C7F" w:rsidRDefault="001C0C31">
      <w:pPr>
        <w:pStyle w:val="textable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noProof/>
          <w:shd w:val="clear" w:color="auto" w:fill="FFFFFF"/>
        </w:rPr>
        <mc:AlternateContent>
          <mc:Choice Requires="wpg">
            <w:drawing>
              <wp:inline distT="0" distB="0" distL="0" distR="0" wp14:anchorId="3275FC3D" wp14:editId="735A8D38">
                <wp:extent cx="1749425" cy="243840"/>
                <wp:effectExtent l="0" t="0" r="3175" b="381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49425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7.75pt;height:19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sectPr w:rsidR="00AE2C7F" w:rsidSect="004A5728">
      <w:headerReference w:type="default" r:id="rId12"/>
      <w:pgSz w:w="11900" w:h="16850"/>
      <w:pgMar w:top="1276" w:right="560" w:bottom="280" w:left="567" w:header="52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F3DB" w14:textId="77777777" w:rsidR="001C0C31" w:rsidRDefault="001C0C31">
      <w:r>
        <w:separator/>
      </w:r>
    </w:p>
  </w:endnote>
  <w:endnote w:type="continuationSeparator" w:id="0">
    <w:p w14:paraId="6310CED0" w14:textId="77777777" w:rsidR="001C0C31" w:rsidRDefault="001C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F7BA" w14:textId="77777777" w:rsidR="001C0C31" w:rsidRDefault="001C0C31">
      <w:r>
        <w:separator/>
      </w:r>
    </w:p>
  </w:footnote>
  <w:footnote w:type="continuationSeparator" w:id="0">
    <w:p w14:paraId="1F319D34" w14:textId="77777777" w:rsidR="001C0C31" w:rsidRDefault="001C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7C31" w14:textId="77777777" w:rsidR="00AE2C7F" w:rsidRDefault="001C0C31">
    <w:pPr>
      <w:pStyle w:val="af5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487471104" behindDoc="1" locked="0" layoutInCell="1" allowOverlap="1" wp14:anchorId="5E143273" wp14:editId="47E04DDA">
              <wp:simplePos x="0" y="0"/>
              <wp:positionH relativeFrom="page">
                <wp:posOffset>558800</wp:posOffset>
              </wp:positionH>
              <wp:positionV relativeFrom="page">
                <wp:posOffset>234950</wp:posOffset>
              </wp:positionV>
              <wp:extent cx="720448" cy="699135"/>
              <wp:effectExtent l="0" t="0" r="3810" b="5715"/>
              <wp:wrapNone/>
              <wp:docPr id="5" name="Рисунок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853" cy="7024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487471104;o:allowoverlap:true;o:allowincell:true;mso-position-horizontal-relative:page;margin-left:44.00pt;mso-position-horizontal:absolute;mso-position-vertical-relative:page;margin-top:18.50pt;mso-position-vertical:absolute;width:56.73pt;height:55.05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3178981" wp14:editId="3902BD28">
              <wp:simplePos x="0" y="0"/>
              <wp:positionH relativeFrom="page">
                <wp:posOffset>4324350</wp:posOffset>
              </wp:positionH>
              <wp:positionV relativeFrom="page">
                <wp:posOffset>285750</wp:posOffset>
              </wp:positionV>
              <wp:extent cx="2863850" cy="718185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63850" cy="718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B02CD" w14:textId="5D972AD4" w:rsidR="00AE2C7F" w:rsidRDefault="00041024">
                          <w:pPr>
                            <w:pStyle w:val="af5"/>
                            <w:spacing w:before="43"/>
                            <w:jc w:val="center"/>
                            <w:rPr>
                              <w:rFonts w:ascii="Calibri"/>
                            </w:rPr>
                          </w:pPr>
                          <w:r w:rsidRPr="00041024">
                            <w:rPr>
                              <w:rStyle w:val="afc"/>
                              <w:b w:val="0"/>
                              <w:bCs w:val="0"/>
                            </w:rPr>
                            <w:drawing>
                              <wp:inline distT="0" distB="0" distL="0" distR="0" wp14:anchorId="1CC058CF" wp14:editId="578E5C05">
                                <wp:extent cx="3109847" cy="687087"/>
                                <wp:effectExtent l="0" t="0" r="0" b="0"/>
                                <wp:docPr id="6" name="Рисунок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9437" cy="691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7898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40.5pt;margin-top:22.5pt;width:225.5pt;height:56.55pt;z-index:-1584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" filled="f" stroked="f">
              <v:textbox inset="1mm,1mm,1mm,1mm">
                <w:txbxContent>
                  <w:p w14:paraId="316B02CD" w14:textId="5D972AD4" w:rsidR="00AE2C7F" w:rsidRDefault="00041024">
                    <w:pPr>
                      <w:pStyle w:val="af5"/>
                      <w:spacing w:before="43"/>
                      <w:jc w:val="center"/>
                      <w:rPr>
                        <w:rFonts w:ascii="Calibri"/>
                      </w:rPr>
                    </w:pPr>
                    <w:r w:rsidRPr="00041024">
                      <w:rPr>
                        <w:rStyle w:val="afc"/>
                        <w:b w:val="0"/>
                        <w:bCs w:val="0"/>
                      </w:rPr>
                      <w:drawing>
                        <wp:inline distT="0" distB="0" distL="0" distR="0" wp14:anchorId="1CC058CF" wp14:editId="578E5C05">
                          <wp:extent cx="3109847" cy="687087"/>
                          <wp:effectExtent l="0" t="0" r="0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9437" cy="691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7A3"/>
    <w:multiLevelType w:val="hybridMultilevel"/>
    <w:tmpl w:val="4CEC51AA"/>
    <w:lvl w:ilvl="0" w:tplc="435EFE4A">
      <w:start w:val="1"/>
      <w:numFmt w:val="decimal"/>
      <w:lvlText w:val="%1."/>
      <w:lvlJc w:val="left"/>
      <w:pPr>
        <w:ind w:left="508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19ECC026">
      <w:start w:val="1"/>
      <w:numFmt w:val="bullet"/>
      <w:lvlText w:val="•"/>
      <w:lvlJc w:val="left"/>
      <w:pPr>
        <w:ind w:left="458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FA2897D0">
      <w:start w:val="1"/>
      <w:numFmt w:val="bullet"/>
      <w:lvlText w:val="•"/>
      <w:lvlJc w:val="left"/>
      <w:pPr>
        <w:ind w:left="1561" w:hanging="183"/>
      </w:pPr>
      <w:rPr>
        <w:rFonts w:hint="default"/>
        <w:lang w:val="ru-RU" w:eastAsia="en-US" w:bidi="ar-SA"/>
      </w:rPr>
    </w:lvl>
    <w:lvl w:ilvl="3" w:tplc="9834698C">
      <w:start w:val="1"/>
      <w:numFmt w:val="bullet"/>
      <w:lvlText w:val="•"/>
      <w:lvlJc w:val="left"/>
      <w:pPr>
        <w:ind w:left="2623" w:hanging="183"/>
      </w:pPr>
      <w:rPr>
        <w:rFonts w:hint="default"/>
        <w:lang w:val="ru-RU" w:eastAsia="en-US" w:bidi="ar-SA"/>
      </w:rPr>
    </w:lvl>
    <w:lvl w:ilvl="4" w:tplc="9210D204">
      <w:start w:val="1"/>
      <w:numFmt w:val="bullet"/>
      <w:lvlText w:val="•"/>
      <w:lvlJc w:val="left"/>
      <w:pPr>
        <w:ind w:left="3685" w:hanging="183"/>
      </w:pPr>
      <w:rPr>
        <w:rFonts w:hint="default"/>
        <w:lang w:val="ru-RU" w:eastAsia="en-US" w:bidi="ar-SA"/>
      </w:rPr>
    </w:lvl>
    <w:lvl w:ilvl="5" w:tplc="693EDB72">
      <w:start w:val="1"/>
      <w:numFmt w:val="bullet"/>
      <w:lvlText w:val="•"/>
      <w:lvlJc w:val="left"/>
      <w:pPr>
        <w:ind w:left="4747" w:hanging="183"/>
      </w:pPr>
      <w:rPr>
        <w:rFonts w:hint="default"/>
        <w:lang w:val="ru-RU" w:eastAsia="en-US" w:bidi="ar-SA"/>
      </w:rPr>
    </w:lvl>
    <w:lvl w:ilvl="6" w:tplc="4D948494">
      <w:start w:val="1"/>
      <w:numFmt w:val="bullet"/>
      <w:lvlText w:val="•"/>
      <w:lvlJc w:val="left"/>
      <w:pPr>
        <w:ind w:left="5809" w:hanging="183"/>
      </w:pPr>
      <w:rPr>
        <w:rFonts w:hint="default"/>
        <w:lang w:val="ru-RU" w:eastAsia="en-US" w:bidi="ar-SA"/>
      </w:rPr>
    </w:lvl>
    <w:lvl w:ilvl="7" w:tplc="B894BE82">
      <w:start w:val="1"/>
      <w:numFmt w:val="bullet"/>
      <w:lvlText w:val="•"/>
      <w:lvlJc w:val="left"/>
      <w:pPr>
        <w:ind w:left="6871" w:hanging="183"/>
      </w:pPr>
      <w:rPr>
        <w:rFonts w:hint="default"/>
        <w:lang w:val="ru-RU" w:eastAsia="en-US" w:bidi="ar-SA"/>
      </w:rPr>
    </w:lvl>
    <w:lvl w:ilvl="8" w:tplc="39F854E4">
      <w:start w:val="1"/>
      <w:numFmt w:val="bullet"/>
      <w:lvlText w:val="•"/>
      <w:lvlJc w:val="left"/>
      <w:pPr>
        <w:ind w:left="793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2E832A7"/>
    <w:multiLevelType w:val="hybridMultilevel"/>
    <w:tmpl w:val="B70830C2"/>
    <w:lvl w:ilvl="0" w:tplc="EC70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82E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D86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BEE6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409D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E05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FC60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4005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E7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62559"/>
    <w:multiLevelType w:val="hybridMultilevel"/>
    <w:tmpl w:val="E04E8B8A"/>
    <w:lvl w:ilvl="0" w:tplc="B3C4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69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6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0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A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8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C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47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1C5B"/>
    <w:multiLevelType w:val="hybridMultilevel"/>
    <w:tmpl w:val="07407A1A"/>
    <w:lvl w:ilvl="0" w:tplc="B2C022FE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E7CE7D98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A0B23D86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CC4E783E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6242DE1E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B4141830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5622B6DA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6166DD18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71DC6488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31BB0C88"/>
    <w:multiLevelType w:val="hybridMultilevel"/>
    <w:tmpl w:val="DCFC55E2"/>
    <w:lvl w:ilvl="0" w:tplc="41CCB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08B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6AD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FC74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AE2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C22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A50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9C0F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32D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F7648"/>
    <w:multiLevelType w:val="hybridMultilevel"/>
    <w:tmpl w:val="DC94BFC6"/>
    <w:lvl w:ilvl="0" w:tplc="85BA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20C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EC2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86B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C86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C4B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68BD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1A06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9A8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C616B"/>
    <w:multiLevelType w:val="hybridMultilevel"/>
    <w:tmpl w:val="2E0AB9AA"/>
    <w:lvl w:ilvl="0" w:tplc="22487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0A0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428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842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E69D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9CE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222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C82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5A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A52C9"/>
    <w:multiLevelType w:val="hybridMultilevel"/>
    <w:tmpl w:val="5AD8832E"/>
    <w:lvl w:ilvl="0" w:tplc="1A601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CE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43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64D9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30B9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7A3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D28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965F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027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9188C"/>
    <w:multiLevelType w:val="hybridMultilevel"/>
    <w:tmpl w:val="EC90E662"/>
    <w:lvl w:ilvl="0" w:tplc="FD321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907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9EE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C4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6CD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D69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580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78CC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1C2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A5B70"/>
    <w:multiLevelType w:val="hybridMultilevel"/>
    <w:tmpl w:val="3424A3C6"/>
    <w:lvl w:ilvl="0" w:tplc="5204B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FC6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DE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50D5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D44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D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76F3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D6C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A016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7F"/>
    <w:rsid w:val="00041024"/>
    <w:rsid w:val="00063ADB"/>
    <w:rsid w:val="001C0C31"/>
    <w:rsid w:val="00210B55"/>
    <w:rsid w:val="002C51EE"/>
    <w:rsid w:val="004A5728"/>
    <w:rsid w:val="006658FB"/>
    <w:rsid w:val="00712713"/>
    <w:rsid w:val="007F5D11"/>
    <w:rsid w:val="00813F84"/>
    <w:rsid w:val="00997336"/>
    <w:rsid w:val="009E2AE1"/>
    <w:rsid w:val="00A219E6"/>
    <w:rsid w:val="00A24A95"/>
    <w:rsid w:val="00AA0C61"/>
    <w:rsid w:val="00AE2C7F"/>
    <w:rsid w:val="00E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4134C"/>
  <w15:docId w15:val="{AF963B28-1A41-4B3E-9A6D-B4FBAEA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8" w:hanging="2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EFEFE" w:themeColor="light1"/>
        <w:left w:val="single" w:sz="4" w:space="0" w:color="FEFEFE" w:themeColor="light1"/>
        <w:bottom w:val="single" w:sz="4" w:space="0" w:color="FEFEFE" w:themeColor="light1"/>
        <w:right w:val="single" w:sz="4" w:space="0" w:color="FEFEFE" w:themeColor="light1"/>
        <w:insideH w:val="single" w:sz="4" w:space="0" w:color="FEFEFE" w:themeColor="light1"/>
        <w:insideV w:val="single" w:sz="4" w:space="0" w:color="FEFEFE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EFEFE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EFEFE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EFEFE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EFEFE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EFEFE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EFEFE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EFEFE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EFEFE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EFEFE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EFEFE" w:themeColor="light1"/>
        <w:sz w:val="22"/>
      </w:rPr>
    </w:tblStylePr>
    <w:tblStylePr w:type="firstCol">
      <w:rPr>
        <w:rFonts w:ascii="Arial" w:hAnsi="Arial"/>
        <w:b/>
        <w:color w:val="FEFEFE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EFEFE" w:themeColor="light1"/>
        </w:tcBorders>
      </w:tcPr>
    </w:tblStylePr>
    <w:tblStylePr w:type="lastCol">
      <w:tblPr/>
      <w:tcPr>
        <w:tcBorders>
          <w:left w:val="single" w:sz="4" w:space="0" w:color="FEFEFE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EFEFE" w:themeColor="light1"/>
          <w:right w:val="single" w:sz="4" w:space="0" w:color="FEFEFE" w:themeColor="light1"/>
        </w:tcBorders>
      </w:tcPr>
    </w:tblStylePr>
    <w:tblStylePr w:type="band1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EFEFE" w:themeColor="light1"/>
          <w:bottom w:val="single" w:sz="4" w:space="0" w:color="FEFEFE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EFEFE" w:themeColor="light1" w:fill="FEFEFE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EFEFE" w:themeColor="light1" w:fill="FEFEFE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0"/>
    <w:qFormat/>
    <w:pPr>
      <w:spacing w:before="168"/>
      <w:ind w:left="3689" w:right="664" w:hanging="2046"/>
    </w:pPr>
    <w:rPr>
      <w:b/>
      <w:bCs/>
      <w:sz w:val="32"/>
      <w:szCs w:val="32"/>
    </w:rPr>
  </w:style>
  <w:style w:type="paragraph" w:styleId="af6">
    <w:name w:val="List Paragraph"/>
    <w:basedOn w:val="a"/>
    <w:uiPriority w:val="1"/>
    <w:qFormat/>
    <w:pPr>
      <w:ind w:left="508" w:hanging="247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textable">
    <w:name w:val="textable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pPr>
      <w:widowControl/>
    </w:pPr>
    <w:rPr>
      <w:rFonts w:ascii="Times New Roman" w:eastAsia="Times New Roman" w:hAnsi="Times New Roman" w:cs="Times New Roman"/>
      <w:lang w:val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pro.info/con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@wowgrou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5587-37EC-4C7A-8832-762EA334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wow</dc:creator>
  <cp:lastModifiedBy>Zarui Udumian</cp:lastModifiedBy>
  <cp:revision>50</cp:revision>
  <dcterms:created xsi:type="dcterms:W3CDTF">2025-08-07T10:33:00Z</dcterms:created>
  <dcterms:modified xsi:type="dcterms:W3CDTF">2025-08-14T08:34:00Z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