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597B" w14:textId="4CEBD84F" w:rsidR="00EE580D" w:rsidRPr="007A53EA" w:rsidRDefault="00EE580D" w:rsidP="007A53EA">
      <w:pPr>
        <w:jc w:val="center"/>
        <w:rPr>
          <w:rFonts w:ascii="Times New Roman" w:hAnsi="Times New Roman" w:cs="Times New Roman"/>
          <w:b/>
          <w:bCs/>
        </w:rPr>
      </w:pPr>
      <w:r w:rsidRPr="007A53EA">
        <w:rPr>
          <w:rFonts w:ascii="Times New Roman" w:hAnsi="Times New Roman" w:cs="Times New Roman"/>
          <w:b/>
          <w:bCs/>
        </w:rPr>
        <w:t>Анализ российского рынка металлоконструкций: итоги 2024 г., прогноз до 2028 г.</w:t>
      </w:r>
    </w:p>
    <w:p w14:paraId="3C47A05F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  <w:r w:rsidRPr="007A53EA">
        <w:rPr>
          <w:rFonts w:ascii="Times New Roman" w:hAnsi="Times New Roman" w:cs="Times New Roman"/>
        </w:rPr>
        <w:t xml:space="preserve"> </w:t>
      </w:r>
    </w:p>
    <w:p w14:paraId="22E02A70" w14:textId="77777777" w:rsidR="00EE580D" w:rsidRPr="007A53EA" w:rsidRDefault="00EE580D" w:rsidP="007A53EA">
      <w:pPr>
        <w:jc w:val="both"/>
        <w:rPr>
          <w:rFonts w:ascii="Times New Roman" w:hAnsi="Times New Roman" w:cs="Times New Roman"/>
          <w:i/>
          <w:iCs/>
        </w:rPr>
      </w:pPr>
      <w:r w:rsidRPr="007A53EA">
        <w:rPr>
          <w:rFonts w:ascii="Times New Roman" w:hAnsi="Times New Roman" w:cs="Times New Roman"/>
          <w:i/>
          <w:iCs/>
        </w:rPr>
        <w:t>В январе 2025 года исследовательская компания NeoAnalytics завершила проведение маркетингового исследования российского рынка металлоконструкций.</w:t>
      </w:r>
    </w:p>
    <w:p w14:paraId="0CC8E0EF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</w:p>
    <w:p w14:paraId="1169E6ED" w14:textId="0C4945B6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  <w:r w:rsidRPr="007A53EA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металлоконструкций: итоги 2024 г., прогноз до 2028 г.», выяснилось, что в 2024 г. наибольшая доля составляет объекты коммерческой недвижимости (торговые центры и склады), в частности, 33%.  На объекты дорожного строительства приходится около 29% объема рынка металлоконструкций.  Доли </w:t>
      </w:r>
      <w:r w:rsidR="007A53EA" w:rsidRPr="007A53EA">
        <w:rPr>
          <w:rFonts w:ascii="Times New Roman" w:hAnsi="Times New Roman" w:cs="Times New Roman"/>
        </w:rPr>
        <w:t>вышеобозначенных</w:t>
      </w:r>
      <w:r w:rsidRPr="007A53EA">
        <w:rPr>
          <w:rFonts w:ascii="Times New Roman" w:hAnsi="Times New Roman" w:cs="Times New Roman"/>
        </w:rPr>
        <w:t xml:space="preserve"> сегментов в 2024 г. немного выросли, учитывая положительную динамику роста объемов строительства. Доля промышленных зданий составляет около 13%. На долю объектов сельскохозяйственного строительства приходится около 12%, доля жилой недвижимости - около 9%. Другие отрасли (в том числе, объекты энергетики и телекоммуникаций инфраструктурные объекты и т.п.) совокупно составляют около 5% рынка.</w:t>
      </w:r>
    </w:p>
    <w:p w14:paraId="26CCCB1F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</w:p>
    <w:p w14:paraId="19992082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  <w:r w:rsidRPr="007A53EA">
        <w:rPr>
          <w:rFonts w:ascii="Times New Roman" w:hAnsi="Times New Roman" w:cs="Times New Roman"/>
        </w:rPr>
        <w:t>По итогам 2024 г. объем совокупного производства металлоконструкций в России увеличился на 0,3% по отношению к аналогичному показателю годом ранее и составил более 8000 тыс. тонн. Основная причина замедления динамики внутреннего выпуска – сокращение спроса в потребляющих отраслях. Высокая ставка ЦБ побудила инвесторов сократить вложения в промышленные и инфраструктурные объекты. Но, тем не менее, показатель прошлого года является историческим в периоде 2017-2024 гг.</w:t>
      </w:r>
    </w:p>
    <w:p w14:paraId="2280D034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</w:p>
    <w:p w14:paraId="42C01E7A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  <w:r w:rsidRPr="007A53EA">
        <w:rPr>
          <w:rFonts w:ascii="Times New Roman" w:hAnsi="Times New Roman" w:cs="Times New Roman"/>
        </w:rPr>
        <w:t>Ретроспектива объемов производства показывает, что до 2024 г. динамика внутреннего выпуска металлоконструкций из алюминия в предыдущие три года была наиболее интенсивна по сравнению с выпуском металлоконструкций из стали, несмотря на превалирующие объемы производства последнего вида. Так, по итогам 2023 г. производство металлоконструкций из алюминия увеличилось за год на 24,9% в то время, как выпуск продукции из стали за год вырос всего на 5,9%. По итогам 2024 г. динамика в обоих сегментах несколько замедлилась.</w:t>
      </w:r>
    </w:p>
    <w:p w14:paraId="5F5E0203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</w:p>
    <w:p w14:paraId="3480292C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  <w:r w:rsidRPr="007A53EA">
        <w:rPr>
          <w:rFonts w:ascii="Times New Roman" w:hAnsi="Times New Roman" w:cs="Times New Roman"/>
        </w:rPr>
        <w:t>Металлоконструкции являются самым востребованным видом строительных материалов, поэтому динамика спроса на металлоконструкции определяется тенденциями строительного рынка.</w:t>
      </w:r>
    </w:p>
    <w:p w14:paraId="33B84F08" w14:textId="77777777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</w:p>
    <w:p w14:paraId="285503E6" w14:textId="40BCBBC6" w:rsidR="00EE580D" w:rsidRPr="007A53EA" w:rsidRDefault="00EE580D" w:rsidP="007A53EA">
      <w:pPr>
        <w:jc w:val="both"/>
        <w:rPr>
          <w:rFonts w:ascii="Times New Roman" w:hAnsi="Times New Roman" w:cs="Times New Roman"/>
        </w:rPr>
      </w:pPr>
      <w:r w:rsidRPr="007A53EA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EE580D" w:rsidRPr="007A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0D"/>
    <w:rsid w:val="00652132"/>
    <w:rsid w:val="007A53EA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C697"/>
  <w15:chartTrackingRefBased/>
  <w15:docId w15:val="{E6A8CFFA-6459-46F6-B9B2-DC10FC0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5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5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58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5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2025-09-10T14:09:00Z</dcterms:created>
  <dcterms:modified xsi:type="dcterms:W3CDTF">2025-09-10T14:12:00Z</dcterms:modified>
</cp:coreProperties>
</file>