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highlight w:val="none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i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highlight w:val="none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Телефон: (4012) 556-2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10" w:tooltip="file:///C:\Users\Trubnikova-ia\Users\Matveeva-IN\Matveeva-IN\AppData\Local\Temp\notesC1CBFB\ShapovalovaAG@klngd.rshb.ru" w:history="1">
        <w:r>
          <w:rPr>
            <w:rStyle w:val="838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»сентября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025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both"/>
        <w:spacing w:after="150" w:line="31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highlight w:val="white"/>
        </w:rPr>
        <w:t xml:space="preserve">оссельхозбанк в Калининграде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highlight w:val="white"/>
        </w:rPr>
        <w:t xml:space="preserve">примет участие во Всероссийской акции </w:t>
        <w:tab/>
        <w:t xml:space="preserve">«Монетная неделя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white"/>
        </w:rPr>
      </w:r>
    </w:p>
    <w:p>
      <w:pPr>
        <w:pStyle w:val="847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</w:r>
    </w:p>
    <w:p>
      <w:pPr>
        <w:pStyle w:val="847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</w:r>
    </w:p>
    <w:p>
      <w:pPr>
        <w:pStyle w:val="847"/>
        <w:ind w:firstLine="0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Традиционная акция «Монетная неделя» пройдет в период с 22 сентября по 04 октября. Она направлена на возврат монет в оборот</w:t>
      </w:r>
      <w:r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Принимаются любые российские монеты, выпущенные после 1997 года. Кроме того, акция позволит вернуть монеты в оборот, тем самым сократив затраты на их чеканку.</w:t>
      </w: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последние годы в России наблюдается тенденция накопления монет населением, что влечет за собой ряд проблем для экономики. Большая часть монет оседает в копилках и ящиках, выпадает из денежного оборота и не используется для расчетов. Чтобы исправить ситуа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цию, Банк России регулярно проводит всероссийскую акцию «Монетная неделя».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single" w:color="939995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Акция проводится ежегодно по всей стране,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уть акции заключается в том, что россияне приносят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накопившиеся монеты любого номинала в любом количестве в отделения российских банков и могут без комиссии обменять их на купюры или просто зачислить на свой счет.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Несмотря на то, что сейчас монетами пользуются не так часто, они до сих пор являются важным для экономики средством расчета.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СХБ традиционно принимает во всероссийской акции  участие, предоставляя клиентам удобный сервис для обмена.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single" w:color="939995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single" w:color="939995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Возврат монет в оборот помогает оптимизировать денежное обращение и снижает затраты на производство новых. Таким образом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, мы вносим вклад в поддержание экономики страны.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Надеемся, что калининградцы активно поддержат акцию, тем более во время «Монетной недели» есть возможность сдать мелочь без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», – отметила директор Калининградского филиала РСХБ  Инесса  Мусина.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single" w:color="939995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single" w:color="939995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single" w:color="939995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single" w:color="939995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single" w:color="939995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single" w:color="939995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single" w:color="939995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single" w:color="939995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А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О «Россельхозбанк» – основа национальной кредитно-финансовой системы обслуживания агропромышленног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  <w:bookmarkStart w:id="0" w:name="_GoBack"/>
      <w:r/>
      <w:bookmarkEnd w:id="0"/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7"/>
    <w:next w:val="827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7"/>
    <w:next w:val="827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character" w:styleId="662">
    <w:name w:val="Heading 4 Char"/>
    <w:basedOn w:val="830"/>
    <w:link w:val="828"/>
    <w:uiPriority w:val="9"/>
    <w:rPr>
      <w:rFonts w:ascii="Arial" w:hAnsi="Arial" w:eastAsia="Arial" w:cs="Arial"/>
      <w:b/>
      <w:bCs/>
      <w:sz w:val="26"/>
      <w:szCs w:val="26"/>
    </w:rPr>
  </w:style>
  <w:style w:type="character" w:styleId="663">
    <w:name w:val="Heading 5 Char"/>
    <w:basedOn w:val="830"/>
    <w:link w:val="829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7"/>
    <w:next w:val="827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7"/>
    <w:next w:val="827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7"/>
    <w:next w:val="827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7"/>
    <w:next w:val="827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7"/>
    <w:next w:val="827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0"/>
    <w:link w:val="834"/>
    <w:uiPriority w:val="99"/>
  </w:style>
  <w:style w:type="paragraph" w:styleId="682">
    <w:name w:val="Footer"/>
    <w:basedOn w:val="827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Footnote Text Char"/>
    <w:link w:val="851"/>
    <w:uiPriority w:val="99"/>
    <w:rPr>
      <w:sz w:val="18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0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</w:style>
  <w:style w:type="paragraph" w:styleId="828">
    <w:name w:val="Heading 4"/>
    <w:basedOn w:val="827"/>
    <w:next w:val="827"/>
    <w:link w:val="845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829">
    <w:name w:val="Heading 5"/>
    <w:basedOn w:val="827"/>
    <w:next w:val="827"/>
    <w:link w:val="846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rmal (Web)"/>
    <w:basedOn w:val="8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Header"/>
    <w:basedOn w:val="827"/>
    <w:link w:val="83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5" w:customStyle="1">
    <w:name w:val="Верхний колонтитул Знак"/>
    <w:basedOn w:val="830"/>
    <w:link w:val="8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>
    <w:name w:val="Balloon Text"/>
    <w:basedOn w:val="827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0"/>
    <w:link w:val="836"/>
    <w:uiPriority w:val="99"/>
    <w:semiHidden/>
    <w:rPr>
      <w:rFonts w:ascii="Segoe UI" w:hAnsi="Segoe UI" w:cs="Segoe UI"/>
      <w:sz w:val="18"/>
      <w:szCs w:val="18"/>
    </w:rPr>
  </w:style>
  <w:style w:type="character" w:styleId="838">
    <w:name w:val="Hyperlink"/>
    <w:uiPriority w:val="99"/>
    <w:unhideWhenUsed/>
    <w:rPr>
      <w:color w:val="0000ff"/>
      <w:u w:val="single"/>
    </w:rPr>
  </w:style>
  <w:style w:type="character" w:styleId="839">
    <w:name w:val="annotation reference"/>
    <w:basedOn w:val="830"/>
    <w:uiPriority w:val="99"/>
    <w:semiHidden/>
    <w:unhideWhenUsed/>
    <w:rPr>
      <w:sz w:val="16"/>
      <w:szCs w:val="16"/>
    </w:rPr>
  </w:style>
  <w:style w:type="paragraph" w:styleId="840">
    <w:name w:val="annotation text"/>
    <w:basedOn w:val="827"/>
    <w:link w:val="84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1" w:customStyle="1">
    <w:name w:val="Текст примечания Знак"/>
    <w:basedOn w:val="830"/>
    <w:link w:val="840"/>
    <w:uiPriority w:val="99"/>
    <w:semiHidden/>
    <w:rPr>
      <w:sz w:val="20"/>
      <w:szCs w:val="20"/>
    </w:rPr>
  </w:style>
  <w:style w:type="paragraph" w:styleId="842">
    <w:name w:val="annotation subject"/>
    <w:basedOn w:val="840"/>
    <w:next w:val="840"/>
    <w:link w:val="843"/>
    <w:uiPriority w:val="99"/>
    <w:semiHidden/>
    <w:unhideWhenUsed/>
    <w:rPr>
      <w:b/>
      <w:bCs/>
    </w:rPr>
  </w:style>
  <w:style w:type="character" w:styleId="843" w:customStyle="1">
    <w:name w:val="Тема примечания Знак"/>
    <w:basedOn w:val="841"/>
    <w:link w:val="842"/>
    <w:uiPriority w:val="99"/>
    <w:semiHidden/>
    <w:rPr>
      <w:b/>
      <w:bCs/>
      <w:sz w:val="20"/>
      <w:szCs w:val="20"/>
    </w:rPr>
  </w:style>
  <w:style w:type="paragraph" w:styleId="844" w:customStyle="1">
    <w:name w:val="p3_mr_css_attr"/>
    <w:basedOn w:val="8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5" w:customStyle="1">
    <w:name w:val="Заголовок 4 Знак"/>
    <w:basedOn w:val="830"/>
    <w:link w:val="828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46" w:customStyle="1">
    <w:name w:val="Заголовок 5 Знак"/>
    <w:basedOn w:val="830"/>
    <w:link w:val="829"/>
    <w:uiPriority w:val="9"/>
    <w:rPr>
      <w:rFonts w:ascii="Arial" w:hAnsi="Arial" w:eastAsiaTheme="majorEastAsia" w:cstheme="majorBidi"/>
      <w:sz w:val="18"/>
      <w:szCs w:val="20"/>
    </w:rPr>
  </w:style>
  <w:style w:type="paragraph" w:styleId="847" w:customStyle="1">
    <w:name w:val="DocumentBody"/>
    <w:basedOn w:val="827"/>
    <w:link w:val="848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48" w:customStyle="1">
    <w:name w:val="DocumentBody Знак"/>
    <w:basedOn w:val="830"/>
    <w:link w:val="847"/>
    <w:rPr>
      <w:rFonts w:ascii="Arial" w:hAnsi="Arial"/>
      <w:sz w:val="18"/>
      <w:szCs w:val="20"/>
    </w:rPr>
  </w:style>
  <w:style w:type="character" w:styleId="849" w:customStyle="1">
    <w:name w:val="Document_Name"/>
    <w:basedOn w:val="830"/>
    <w:uiPriority w:val="1"/>
    <w:qFormat/>
    <w:rPr>
      <w:rFonts w:ascii="Arial" w:hAnsi="Arial"/>
      <w:b w:val="0"/>
      <w:sz w:val="24"/>
    </w:rPr>
  </w:style>
  <w:style w:type="paragraph" w:styleId="85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51">
    <w:name w:val="footnote text"/>
    <w:basedOn w:val="827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0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0"/>
    <w:uiPriority w:val="99"/>
    <w:semiHidden/>
    <w:unhideWhenUsed/>
    <w:rPr>
      <w:vertAlign w:val="superscript"/>
    </w:rPr>
  </w:style>
  <w:style w:type="paragraph" w:styleId="854">
    <w:name w:val="List Paragraph"/>
    <w:basedOn w:val="827"/>
    <w:uiPriority w:val="34"/>
    <w:qFormat/>
    <w:pPr>
      <w:contextualSpacing/>
      <w:ind w:left="720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9558-37E9-4474-BBC1-31438BF2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5</cp:revision>
  <dcterms:created xsi:type="dcterms:W3CDTF">2024-05-17T13:44:00Z</dcterms:created>
  <dcterms:modified xsi:type="dcterms:W3CDTF">2025-09-12T07:07:45Z</dcterms:modified>
</cp:coreProperties>
</file>