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Askona Home в Воронеже стал победителем CRE Awards в номинации “Сделка года. Аренда торговой недвижимости”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25 сентября в Москве состоялась церемония вручения престижной премии CRE Awards, которая ежегодно отмечает лучшие проекты на рынке коммерческой недвижимости. Победителем в номинации «Сделка года. Аренда торговой недвижимости» стал Сити-парк «Град» за открытие второго в России гипермаркета Askona Home.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Открытие магазина в Воронеже стало стратегически важным шагом для компании. Этот проект стал пилотным в развитии нового формата гипермаркетов Askona Home в регионах. В таких магазинах под одной крышей представлен полный ассортимент товаров для дома — от товаров для здорового сна до мебели и аксессуаров.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Победа в CRE Awards подчеркивает значимость проекта не только для торгового центра, но и для всей мебельной отрасли: гипермаркеты Askona Home меняют восприятие мебельного ритейла, выводя клиентский опыт на новый уровень.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Открытие гипермаркета в Воронеже стало важным этапом в развитии нового для нас формата, –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прокомментировал Владимир Корчагов, исполнительный директор розницы Асконы в России и СНГ. –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Мы целенаправленно тестируем модель гипермаркетов в регионах и видим высокий интерес со стороны покупателей. Победа в CRE Awards подтверждает, что мы двигаемся в правильном направлении. В 2026 году мы планируем продолжить тиражирование формата и открытие новых гипермаркетов Askona Home.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- Мы гордимся тем, что именно в “Граде” был открыт один из ключевых проектов года, –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поделилась управляющий партнер Сити-парка "Град" Марина Медведева.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– Эта победа в CRE Awards - общее достижение с нашими партнерами, за которое особенно приятно получить профессиональное признание от экспертов рынка.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