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9CAE" w14:textId="7253BEDC" w:rsidR="009231D3" w:rsidRPr="009231D3" w:rsidRDefault="009231D3" w:rsidP="00A72D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1D3">
        <w:rPr>
          <w:rFonts w:ascii="Times New Roman" w:hAnsi="Times New Roman" w:cs="Times New Roman"/>
          <w:b/>
          <w:bCs/>
          <w:sz w:val="28"/>
          <w:szCs w:val="28"/>
        </w:rPr>
        <w:t>Анализ российского рынка бизнес-авиации: итоги 2024 г., прогноз до 2028 г.</w:t>
      </w:r>
    </w:p>
    <w:p w14:paraId="035BAA5D" w14:textId="77777777" w:rsidR="009231D3" w:rsidRPr="009231D3" w:rsidRDefault="009231D3" w:rsidP="00A72D22">
      <w:pPr>
        <w:spacing w:line="240" w:lineRule="auto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 xml:space="preserve"> </w:t>
      </w:r>
    </w:p>
    <w:p w14:paraId="6EA35B85" w14:textId="77777777" w:rsidR="009231D3" w:rsidRDefault="009231D3" w:rsidP="002A493B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9231D3">
        <w:rPr>
          <w:rFonts w:ascii="Times New Roman" w:hAnsi="Times New Roman" w:cs="Times New Roman"/>
          <w:i/>
          <w:iCs/>
        </w:rPr>
        <w:t>В сентябре 2025 года исследовательская компания NeoAnalytics завершила проведение маркетингового исследования российского рынка бизнес-авиации.</w:t>
      </w:r>
    </w:p>
    <w:p w14:paraId="321CBFB2" w14:textId="77777777" w:rsidR="009231D3" w:rsidRPr="009231D3" w:rsidRDefault="009231D3" w:rsidP="002A493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>В ходе исследования, проведенного NeoAnalytics на тему «Российский рынок бизнес-авиации: итоги 2024 г., прогноз до 2028 г.», выяснилось, что по итогам 2024 г. объем российского рынка бизнес-авиации по совокупной выручке эксплуатантов и авиаброкеров составил более 150 млрд. руб., причем доля компаний-эксплуатантов составляет 96,34%, а авиаброкеров – всего 3,66%.</w:t>
      </w:r>
    </w:p>
    <w:p w14:paraId="65AA916D" w14:textId="77777777" w:rsidR="009231D3" w:rsidRPr="009231D3" w:rsidRDefault="009231D3" w:rsidP="002A493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 xml:space="preserve">Сегодня самые востребованные услуги бизнес-авиации являются такие услуги, как организация чартерных VIP-рейсов (14%), заказ бизнес-джета в режиме </w:t>
      </w:r>
      <w:proofErr w:type="spellStart"/>
      <w:r w:rsidRPr="009231D3">
        <w:rPr>
          <w:rFonts w:ascii="Times New Roman" w:hAnsi="Times New Roman" w:cs="Times New Roman"/>
        </w:rPr>
        <w:t>online</w:t>
      </w:r>
      <w:proofErr w:type="spellEnd"/>
      <w:r w:rsidRPr="009231D3">
        <w:rPr>
          <w:rFonts w:ascii="Times New Roman" w:hAnsi="Times New Roman" w:cs="Times New Roman"/>
        </w:rPr>
        <w:t xml:space="preserve"> (11%), менеджмент бизнес-самолетов (10%), организация корпоративных чартерных рейсов (10%) и авиационный консалтинг (7%).</w:t>
      </w:r>
    </w:p>
    <w:p w14:paraId="5B99EE31" w14:textId="0917D504" w:rsidR="009231D3" w:rsidRPr="009231D3" w:rsidRDefault="009231D3" w:rsidP="002A493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>За период 2022-2024 гг. парк воздушных судов пополнился как отечественными воздушными средствами (43 самолета и 89 вертолетов), так и иностранными воздушными средствами, предназначенными для выполнения коммерческих перевозок. Статистика показывает, что с марта 2022 г. по июль 2023 г. в связи со сложившейся санкционной политикой, в РФ было перерегистрировано 658 иностранных самолетов отечественных авиакомпаний. В итоге за период 2022-2024 гг. количество воздушных судов в России снизилось почти на 8,5%.</w:t>
      </w:r>
    </w:p>
    <w:p w14:paraId="182158E7" w14:textId="77777777" w:rsidR="009231D3" w:rsidRPr="009231D3" w:rsidRDefault="009231D3" w:rsidP="002A493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 xml:space="preserve">В 2024 г. самыми популярными зарубежными производителями бизнес-джетов в РФ являлись канадская компания Bombardier Inc (26,3%), французская компания Dassault Aviation (24,2%) и третью строчку занимала английская компания BAE Systems </w:t>
      </w:r>
      <w:proofErr w:type="spellStart"/>
      <w:r w:rsidRPr="009231D3">
        <w:rPr>
          <w:rFonts w:ascii="Times New Roman" w:hAnsi="Times New Roman" w:cs="Times New Roman"/>
        </w:rPr>
        <w:t>pls</w:t>
      </w:r>
      <w:proofErr w:type="spellEnd"/>
      <w:r w:rsidRPr="009231D3">
        <w:rPr>
          <w:rFonts w:ascii="Times New Roman" w:hAnsi="Times New Roman" w:cs="Times New Roman"/>
        </w:rPr>
        <w:t xml:space="preserve"> (9,1%).</w:t>
      </w:r>
    </w:p>
    <w:p w14:paraId="3989B897" w14:textId="54E5A5D6" w:rsidR="009231D3" w:rsidRPr="009231D3" w:rsidRDefault="009231D3" w:rsidP="002A493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>Данное исследование предназначено для ряда специалистов в сфере услуг бизнес-авиации:</w:t>
      </w:r>
    </w:p>
    <w:p w14:paraId="737B3984" w14:textId="77777777" w:rsidR="009231D3" w:rsidRPr="009231D3" w:rsidRDefault="009231D3" w:rsidP="00A72D22">
      <w:pPr>
        <w:spacing w:line="240" w:lineRule="auto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>•</w:t>
      </w:r>
      <w:r w:rsidRPr="009231D3">
        <w:rPr>
          <w:rFonts w:ascii="Times New Roman" w:hAnsi="Times New Roman" w:cs="Times New Roman"/>
        </w:rPr>
        <w:tab/>
        <w:t>Маркетологи, аналитики-маркетологи, специалисты по проведению маркетинговых исследований, менеджеры по продажам;</w:t>
      </w:r>
    </w:p>
    <w:p w14:paraId="595A73CA" w14:textId="77777777" w:rsidR="009231D3" w:rsidRPr="009231D3" w:rsidRDefault="009231D3" w:rsidP="00A72D22">
      <w:pPr>
        <w:spacing w:line="240" w:lineRule="auto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>•</w:t>
      </w:r>
      <w:r w:rsidRPr="009231D3">
        <w:rPr>
          <w:rFonts w:ascii="Times New Roman" w:hAnsi="Times New Roman" w:cs="Times New Roman"/>
        </w:rPr>
        <w:tab/>
        <w:t xml:space="preserve">Директора по маркетингу, коммерческие директора.  </w:t>
      </w:r>
    </w:p>
    <w:p w14:paraId="0EFA97F8" w14:textId="3986E594" w:rsidR="009231D3" w:rsidRPr="009231D3" w:rsidRDefault="009231D3" w:rsidP="002A493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>Данный отчет является продуктом интеллектуальной собственностью исследовательской компании NeoAnalytics.</w:t>
      </w:r>
    </w:p>
    <w:p w14:paraId="2FA3CF6E" w14:textId="25252BDD" w:rsidR="009231D3" w:rsidRPr="009231D3" w:rsidRDefault="009231D3" w:rsidP="002A493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231D3">
        <w:rPr>
          <w:rFonts w:ascii="Times New Roman" w:hAnsi="Times New Roman" w:cs="Times New Roman"/>
        </w:rPr>
        <w:t xml:space="preserve">Более подробно с результатами исследования можно ознакомиться на официальном сайте </w:t>
      </w:r>
      <w:hyperlink r:id="rId4" w:history="1">
        <w:r w:rsidR="002A493B" w:rsidRPr="00D15043">
          <w:rPr>
            <w:rStyle w:val="ac"/>
            <w:rFonts w:ascii="Times New Roman" w:hAnsi="Times New Roman" w:cs="Times New Roman"/>
          </w:rPr>
          <w:t>www.n</w:t>
        </w:r>
      </w:hyperlink>
      <w:r w:rsidR="002A493B">
        <w:rPr>
          <w:rFonts w:ascii="Times New Roman" w:hAnsi="Times New Roman" w:cs="Times New Roman"/>
        </w:rPr>
        <w:tab/>
      </w:r>
      <w:r w:rsidRPr="009231D3">
        <w:rPr>
          <w:rFonts w:ascii="Times New Roman" w:hAnsi="Times New Roman" w:cs="Times New Roman"/>
        </w:rPr>
        <w:t>eoanalytics.ru</w:t>
      </w:r>
    </w:p>
    <w:sectPr w:rsidR="009231D3" w:rsidRPr="0092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D3"/>
    <w:rsid w:val="002A493B"/>
    <w:rsid w:val="00511179"/>
    <w:rsid w:val="009231D3"/>
    <w:rsid w:val="00A72D22"/>
    <w:rsid w:val="00C0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4D2C"/>
  <w15:chartTrackingRefBased/>
  <w15:docId w15:val="{836B24FC-45B3-419D-A910-13EDC4D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3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3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31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31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31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31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31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31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31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31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31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3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31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31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493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A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Караулова</dc:creator>
  <cp:keywords/>
  <dc:description/>
  <cp:lastModifiedBy>Дина Караулова</cp:lastModifiedBy>
  <cp:revision>3</cp:revision>
  <dcterms:created xsi:type="dcterms:W3CDTF">2025-10-13T13:52:00Z</dcterms:created>
  <dcterms:modified xsi:type="dcterms:W3CDTF">2025-10-13T13:59:00Z</dcterms:modified>
</cp:coreProperties>
</file>