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Акционерное общество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pStyle w:val="832"/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«Российский Сельскохозяйственный банк»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32"/>
        <w:jc w:val="center"/>
        <w:spacing w:after="12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(АО «Россельхозбанк»)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pStyle w:val="832"/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Пресс-служба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Калининградского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регионального филиала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Ул. Гостиная, дом 3, Калининград, 236022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Телефон: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(4012) 556-261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32"/>
        <w:ind w:left="-851" w:firstLine="426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/>
          <w:sz w:val="20"/>
          <w:szCs w:val="20"/>
          <w:lang w:val="en-US" w:eastAsia="ru-RU"/>
        </w:rPr>
      </w:pPr>
      <w:r>
        <w:rPr>
          <w:rFonts w:ascii="Times New Roman" w:hAnsi="Times New Roman" w:eastAsia="Times New Roman"/>
          <w:sz w:val="20"/>
          <w:szCs w:val="20"/>
          <w:lang w:val="en-US" w:eastAsia="ru-RU"/>
        </w:rPr>
        <w:t xml:space="preserve">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</w:t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  <w:t xml:space="preserve">-mail:</w:t>
      </w:r>
      <w:r>
        <w:rPr>
          <w:rFonts w:eastAsia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  <w:t xml:space="preserve">TrubnikovaIA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  <w:lang w:val="en-US"/>
        </w:rPr>
        <w:instrText xml:space="preserve">HYPERLINK "../../../../../../../Trubnikova-ia/Users/Matveeva-IN/Matveeva-IN/AppData/Local/Temp/notesC1CBFB/ShapovalovaAG@klngd.rshb.ru"</w:instrText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Style w:val="839"/>
          <w:rFonts w:ascii="Times New Roman" w:hAnsi="Times New Roman"/>
          <w:sz w:val="20"/>
          <w:szCs w:val="20"/>
          <w:lang w:val="en-US"/>
        </w:rPr>
        <w:t xml:space="preserve">@klngd.rshb.ru</w:t>
      </w:r>
      <w:r>
        <w:rPr>
          <w:rStyle w:val="839"/>
          <w:rFonts w:ascii="Times New Roman" w:hAnsi="Times New Roman"/>
          <w:sz w:val="20"/>
          <w:szCs w:val="20"/>
          <w:lang w:val="en-US"/>
        </w:rPr>
        <w:fldChar w:fldCharType="end"/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</w:r>
      <w:r>
        <w:rPr>
          <w:rFonts w:ascii="Times New Roman" w:hAnsi="Times New Roman" w:eastAsia="Times New Roman"/>
          <w:sz w:val="20"/>
          <w:szCs w:val="20"/>
          <w:lang w:val="en-US" w:eastAsia="ru-RU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p>
      <w:pPr>
        <w:pStyle w:val="832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октября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Пресс-релиз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jc w:val="both"/>
        <w:spacing w:before="2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Поздравляем победителя конкурса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25 легендарных фермеров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39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Калининградское семейное предприятие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Шаакен Дорф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победило в номинации «Агротур»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 конкурсе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25 легендарных фермеров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 Конкурс был организован Россельхозбанком совместно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с медиагруппой «Комсомольская правда»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 право войти в топ-25 легендарных фермеров России боролись аграрии со всей страны, и борьба эта была нешуточной, в том числе голосованием в сети.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240" w:line="276" w:lineRule="auto"/>
        <w:rPr>
          <w:rFonts w:ascii="Times New Roman" w:hAnsi="Times New Roman" w:eastAsia="Times New Roman" w:cs="Times New Roman"/>
          <w:color w:val="12121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Рассказывает индивидуальный предприниматель, глава крестьянского фермерского хозяйства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Шаакен Дорф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Виталий Чуев: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none"/>
        </w:rPr>
        <w:t xml:space="preserve">ст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white"/>
        </w:rPr>
        <w:t xml:space="preserve">ория нашего семейного производства Шаакен Дорф начинается с 2015 года, когда было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white"/>
        </w:rPr>
        <w:t xml:space="preserve"> выкуплено здание прусской конюшни 1900 года постройки. За 3 года мы бережно восстановили здание и начали свою деятельность.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white"/>
        </w:rPr>
        <w:t xml:space="preserve"> Создали парковую территорию, построили прогулочную зону, облагородили проезды, построили здания для  туристов,  проводятся мероприятия для жителей и гостей Калининградского региона.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Мы очень рады своей победе, она стала подтверждением того, что мы делаем нужное и любимое дело».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none"/>
        </w:rPr>
      </w:r>
    </w:p>
    <w:p>
      <w:pPr>
        <w:jc w:val="both"/>
        <w:spacing w:before="240" w:line="276" w:lineRule="auto"/>
        <w:rPr>
          <w:rFonts w:ascii="Times New Roman" w:hAnsi="Times New Roman" w:cs="Times New Roman"/>
          <w:color w:val="06062d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«Сегодня интерес к агротуризму возрастает, агротуры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 на винодельни и сыроварни набирают огромную популярност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ь. Любой горожанин может провести запоминающиеся выходные на ферме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6062d"/>
          <w:sz w:val="24"/>
          <w:szCs w:val="24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алининград входит в пятерку регионов, где агротуризм 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пользуется повышенным спросом. Мы 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здравляем нашего победителя,</w:t>
      </w:r>
      <w:r>
        <w:rPr>
          <w:rFonts w:ascii="Arial" w:hAnsi="Arial" w:eastAsia="Arial" w:cs="Arial"/>
          <w:color w:val="06062d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6062d"/>
          <w:sz w:val="24"/>
          <w:highlight w:val="none"/>
        </w:rPr>
        <w:t xml:space="preserve">гордимся нашим сотрудничеством. 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none"/>
        </w:rPr>
        <w:t xml:space="preserve"> Предприятие уже несколько лет находится в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white"/>
        </w:rPr>
        <w:t xml:space="preserve"> ТОП-20 Агро туристических комплексов России. </w:t>
      </w:r>
      <w:r>
        <w:rPr>
          <w:rFonts w:ascii="Times New Roman" w:hAnsi="Times New Roman" w:eastAsia="Times New Roman" w:cs="Times New Roman"/>
          <w:color w:val="121212"/>
          <w:sz w:val="24"/>
          <w:szCs w:val="24"/>
          <w:highlight w:val="white"/>
        </w:rPr>
        <w:t xml:space="preserve"> С 2019 года по сегодняшний день семейным производством Шаакен Дорф получено более 50-ти наград и, верится, что  это не предел», –прокомментировала директор Калининградского регионального филиала Инесса Мусина.</w:t>
      </w:r>
      <w:r>
        <w:rPr>
          <w:rFonts w:ascii="Times New Roman" w:hAnsi="Times New Roman" w:cs="Times New Roman"/>
          <w:color w:val="06062d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6062d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90" w:after="300" w:line="276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60f"/>
          <w:sz w:val="24"/>
          <w:szCs w:val="24"/>
        </w:rPr>
        <w:t xml:space="preserve">Цель премии — поддержка проектов малого и среднего бизнеса агрокомплекса, продвижение предпринимательства в отрасли и привлечение внимания к развитию российских ферм.</w:t>
      </w:r>
      <w:r>
        <w:rPr>
          <w:rFonts w:ascii="Times New Roman" w:hAnsi="Times New Roman" w:eastAsia="Times New Roman" w:cs="Times New Roman"/>
          <w:color w:val="06060f"/>
          <w:sz w:val="24"/>
          <w:szCs w:val="24"/>
        </w:rPr>
        <w:t xml:space="preserve">Критерии отбора включали важность проекта для сельского хозяйства, успехи за прошедший год, итоги всей деятельности и профессиональные награды.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before="0" w:after="390" w:line="102" w:lineRule="atLeast"/>
        <w:rPr>
          <w:rFonts w:ascii="Times New Roman" w:hAnsi="Times New Roman" w:eastAsia="Times New Roman"/>
          <w:bCs/>
          <w:i/>
          <w:sz w:val="18"/>
          <w:szCs w:val="1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АО «Россельхозбанк» – основа национальной кредитно-финансовой системы обслуживания агропромышленно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го комплекса России.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 крупнейших российских банков.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      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Генеральная лицензия Банка России</w:t>
      </w:r>
      <w:r>
        <w:rPr>
          <w:rFonts w:ascii="Times New Roman" w:hAnsi="Times New Roman" w:eastAsia="Times New Roman"/>
          <w:i/>
          <w:color w:val="4f6228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№ 3349</w:t>
      </w:r>
      <w:r>
        <w:rPr>
          <w:rFonts w:ascii="Times New Roman" w:hAnsi="Times New Roman" w:eastAsia="Times New Roman"/>
          <w:bCs/>
          <w:i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bCs/>
          <w:i/>
          <w:sz w:val="18"/>
          <w:szCs w:val="1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33">
    <w:name w:val="Заголовок 3"/>
    <w:basedOn w:val="834"/>
    <w:next w:val="832"/>
    <w:link w:val="847"/>
    <w:qFormat/>
    <w:pPr>
      <w:jc w:val="both"/>
      <w:keepNext w:val="0"/>
      <w:spacing w:before="100" w:beforeAutospacing="1" w:after="100" w:afterAutospacing="1" w:line="240" w:lineRule="auto"/>
      <w:outlineLvl w:val="2"/>
    </w:pPr>
    <w:rPr>
      <w:rFonts w:ascii="Arial" w:hAnsi="Arial" w:eastAsia="Times New Roman" w:cs="Times New Roman"/>
      <w:b w:val="0"/>
      <w:bCs w:val="0"/>
      <w:sz w:val="20"/>
      <w:szCs w:val="26"/>
      <w:lang w:eastAsia="ru-RU"/>
    </w:rPr>
  </w:style>
  <w:style w:type="paragraph" w:styleId="834">
    <w:name w:val="Заголовок 4"/>
    <w:basedOn w:val="832"/>
    <w:next w:val="832"/>
    <w:link w:val="848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835">
    <w:name w:val="Заголовок 5"/>
    <w:basedOn w:val="832"/>
    <w:next w:val="832"/>
    <w:link w:val="853"/>
    <w:uiPriority w:val="9"/>
    <w:semiHidden/>
    <w:unhideWhenUsed/>
    <w:qFormat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36">
    <w:name w:val="Основной шрифт абзаца"/>
    <w:next w:val="836"/>
    <w:link w:val="832"/>
    <w:uiPriority w:val="1"/>
    <w:unhideWhenUsed/>
  </w:style>
  <w:style w:type="table" w:styleId="837">
    <w:name w:val="Обычная таблица"/>
    <w:next w:val="837"/>
    <w:link w:val="832"/>
    <w:uiPriority w:val="99"/>
    <w:semiHidden/>
    <w:unhideWhenUsed/>
    <w:tblPr/>
  </w:style>
  <w:style w:type="numbering" w:styleId="838">
    <w:name w:val="Нет списка"/>
    <w:next w:val="838"/>
    <w:link w:val="832"/>
    <w:uiPriority w:val="99"/>
    <w:semiHidden/>
    <w:unhideWhenUsed/>
  </w:style>
  <w:style w:type="character" w:styleId="839">
    <w:name w:val="Гиперссылка"/>
    <w:next w:val="839"/>
    <w:link w:val="832"/>
    <w:uiPriority w:val="99"/>
    <w:unhideWhenUsed/>
    <w:rPr>
      <w:color w:val="0000ff"/>
      <w:u w:val="single"/>
    </w:rPr>
  </w:style>
  <w:style w:type="character" w:styleId="840">
    <w:name w:val="extended-text__full"/>
    <w:next w:val="840"/>
    <w:link w:val="832"/>
  </w:style>
  <w:style w:type="paragraph" w:styleId="841">
    <w:name w:val="Заголовок"/>
    <w:basedOn w:val="832"/>
    <w:next w:val="832"/>
    <w:link w:val="842"/>
    <w:pPr>
      <w:keepLines/>
      <w:keepNext/>
      <w:spacing w:after="60"/>
    </w:pPr>
    <w:rPr>
      <w:rFonts w:ascii="Arial" w:hAnsi="Arial" w:eastAsia="Arial" w:cs="Arial"/>
      <w:sz w:val="52"/>
      <w:szCs w:val="52"/>
      <w:lang w:val="ru" w:eastAsia="ru-RU"/>
    </w:rPr>
  </w:style>
  <w:style w:type="character" w:styleId="842">
    <w:name w:val="Заголовок Знак"/>
    <w:next w:val="842"/>
    <w:link w:val="841"/>
    <w:rPr>
      <w:rFonts w:ascii="Arial" w:hAnsi="Arial" w:eastAsia="Arial" w:cs="Arial"/>
      <w:sz w:val="52"/>
      <w:szCs w:val="52"/>
      <w:lang w:val="ru"/>
    </w:rPr>
  </w:style>
  <w:style w:type="paragraph" w:styleId="843">
    <w:name w:val="Подзаголовок"/>
    <w:basedOn w:val="832"/>
    <w:next w:val="832"/>
    <w:link w:val="844"/>
    <w:pPr>
      <w:keepLines/>
      <w:keepNext/>
      <w:spacing w:after="320"/>
    </w:pPr>
    <w:rPr>
      <w:rFonts w:ascii="Arial" w:hAnsi="Arial" w:eastAsia="Arial" w:cs="Arial"/>
      <w:color w:val="666666"/>
      <w:sz w:val="30"/>
      <w:szCs w:val="30"/>
      <w:lang w:val="ru" w:eastAsia="ru-RU"/>
    </w:rPr>
  </w:style>
  <w:style w:type="character" w:styleId="844">
    <w:name w:val="Подзаголовок Знак"/>
    <w:next w:val="844"/>
    <w:link w:val="843"/>
    <w:rPr>
      <w:rFonts w:ascii="Arial" w:hAnsi="Arial" w:eastAsia="Arial" w:cs="Arial"/>
      <w:color w:val="666666"/>
      <w:sz w:val="30"/>
      <w:szCs w:val="30"/>
      <w:lang w:val="ru"/>
    </w:rPr>
  </w:style>
  <w:style w:type="paragraph" w:styleId="845">
    <w:name w:val="Текст выноски"/>
    <w:basedOn w:val="832"/>
    <w:next w:val="845"/>
    <w:link w:val="8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6">
    <w:name w:val="Текст выноски Знак"/>
    <w:next w:val="846"/>
    <w:link w:val="84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47">
    <w:name w:val="Заголовок 3 Знак"/>
    <w:next w:val="847"/>
    <w:link w:val="833"/>
    <w:rPr>
      <w:rFonts w:ascii="Arial" w:hAnsi="Arial" w:eastAsia="Times New Roman"/>
      <w:szCs w:val="26"/>
    </w:rPr>
  </w:style>
  <w:style w:type="character" w:styleId="848">
    <w:name w:val="Заголовок 4 Знак"/>
    <w:next w:val="848"/>
    <w:link w:val="83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849">
    <w:name w:val="Заглавие 4"/>
    <w:basedOn w:val="833"/>
    <w:next w:val="832"/>
    <w:link w:val="850"/>
    <w:qFormat/>
    <w:pPr>
      <w:keepLines/>
      <w:keepNext/>
    </w:pPr>
    <w:rPr>
      <w:b/>
      <w:bCs/>
      <w:sz w:val="24"/>
    </w:rPr>
  </w:style>
  <w:style w:type="character" w:styleId="850">
    <w:name w:val="Заглавие 4 Char Char"/>
    <w:next w:val="850"/>
    <w:link w:val="849"/>
    <w:rPr>
      <w:rFonts w:ascii="Arial" w:hAnsi="Arial" w:eastAsia="Times New Roman"/>
      <w:b/>
      <w:bCs/>
      <w:sz w:val="24"/>
      <w:szCs w:val="26"/>
    </w:rPr>
  </w:style>
  <w:style w:type="paragraph" w:styleId="851">
    <w:name w:val="Обычный (веб)"/>
    <w:basedOn w:val="832"/>
    <w:next w:val="851"/>
    <w:link w:val="832"/>
    <w:uiPriority w:val="99"/>
    <w:unhideWhenUsed/>
    <w:pPr>
      <w:spacing w:before="100" w:beforeAutospacing="1"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2">
    <w:name w:val="Строгий"/>
    <w:next w:val="852"/>
    <w:link w:val="832"/>
    <w:uiPriority w:val="22"/>
    <w:qFormat/>
    <w:rPr>
      <w:b/>
      <w:bCs/>
    </w:rPr>
  </w:style>
  <w:style w:type="character" w:styleId="853">
    <w:name w:val="Заголовок 5 Знак"/>
    <w:next w:val="853"/>
    <w:link w:val="83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  <w:style w:type="paragraph" w:styleId="857" w:customStyle="1">
    <w:name w:val="Normal (Web)"/>
    <w:basedOn w:val="839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8" w:customStyle="1">
    <w:name w:val="Strong"/>
    <w:basedOn w:val="84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Алина Владимировна</dc:creator>
  <cp:revision>27</cp:revision>
  <dcterms:created xsi:type="dcterms:W3CDTF">2022-12-06T10:03:00Z</dcterms:created>
  <dcterms:modified xsi:type="dcterms:W3CDTF">2025-10-17T11:40:27Z</dcterms:modified>
  <cp:version>1048576</cp:version>
</cp:coreProperties>
</file>