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7C5" w:rsidRPr="006D583D" w:rsidRDefault="008B67C5" w:rsidP="006D583D">
      <w:pPr>
        <w:spacing w:after="0"/>
        <w:ind w:firstLine="709"/>
        <w:jc w:val="center"/>
        <w:rPr>
          <w:b/>
          <w:bCs/>
        </w:rPr>
      </w:pPr>
      <w:r w:rsidRPr="006D583D">
        <w:rPr>
          <w:b/>
          <w:bCs/>
        </w:rPr>
        <w:t>Анализ российского рынка химчисток и прачечных: итоги 2024</w:t>
      </w:r>
      <w:r w:rsidR="007E2DA2" w:rsidRPr="006D583D">
        <w:rPr>
          <w:b/>
          <w:bCs/>
        </w:rPr>
        <w:t xml:space="preserve"> </w:t>
      </w:r>
      <w:r w:rsidRPr="006D583D">
        <w:rPr>
          <w:b/>
          <w:bCs/>
        </w:rPr>
        <w:t>г., прогноз до 2028 г.</w:t>
      </w:r>
    </w:p>
    <w:p w:rsidR="008B67C5" w:rsidRDefault="008B67C5" w:rsidP="008B67C5">
      <w:pPr>
        <w:spacing w:after="0"/>
        <w:ind w:firstLine="709"/>
        <w:jc w:val="both"/>
      </w:pPr>
      <w:r>
        <w:t xml:space="preserve"> </w:t>
      </w:r>
    </w:p>
    <w:p w:rsidR="008B67C5" w:rsidRPr="006D583D" w:rsidRDefault="008B67C5" w:rsidP="008B67C5">
      <w:pPr>
        <w:spacing w:after="0"/>
        <w:ind w:firstLine="709"/>
        <w:jc w:val="both"/>
        <w:rPr>
          <w:i/>
          <w:iCs/>
        </w:rPr>
      </w:pPr>
      <w:r w:rsidRPr="006D583D">
        <w:rPr>
          <w:i/>
          <w:iCs/>
        </w:rPr>
        <w:t xml:space="preserve">В </w:t>
      </w:r>
      <w:r w:rsidR="006D583D" w:rsidRPr="006D583D">
        <w:rPr>
          <w:i/>
          <w:iCs/>
        </w:rPr>
        <w:t>июле</w:t>
      </w:r>
      <w:r w:rsidRPr="006D583D">
        <w:rPr>
          <w:i/>
          <w:iCs/>
        </w:rPr>
        <w:t xml:space="preserve"> 2025 года исследовательская компания </w:t>
      </w:r>
      <w:proofErr w:type="spellStart"/>
      <w:r w:rsidRPr="006D583D">
        <w:rPr>
          <w:i/>
          <w:iCs/>
        </w:rPr>
        <w:t>NeoAnalytics</w:t>
      </w:r>
      <w:proofErr w:type="spellEnd"/>
      <w:r w:rsidRPr="006D583D">
        <w:rPr>
          <w:i/>
          <w:iCs/>
        </w:rPr>
        <w:t xml:space="preserve"> завершила проведение маркетингового исследования российского рынка химчисток и прачечных.</w:t>
      </w:r>
    </w:p>
    <w:p w:rsidR="008B67C5" w:rsidRDefault="008B67C5" w:rsidP="008B67C5">
      <w:pPr>
        <w:spacing w:after="0"/>
        <w:ind w:firstLine="709"/>
        <w:jc w:val="both"/>
      </w:pPr>
    </w:p>
    <w:p w:rsidR="008B67C5" w:rsidRDefault="008B67C5" w:rsidP="008B67C5">
      <w:pPr>
        <w:spacing w:after="0"/>
        <w:ind w:firstLine="709"/>
        <w:jc w:val="both"/>
      </w:pPr>
      <w:r>
        <w:t xml:space="preserve">В ходе исследования, проведенного </w:t>
      </w:r>
      <w:proofErr w:type="spellStart"/>
      <w:r>
        <w:t>NeoAnalytics</w:t>
      </w:r>
      <w:proofErr w:type="spellEnd"/>
      <w:r>
        <w:t xml:space="preserve"> на тему «Российский рынок химчисток и прачечных: итоги 2024 г., прогноз до 2028 г.», выяснилось, что в региональной структуре рынок существенно различается. Так, в 2024 г. наибольшая концентрация оказанных услуг (объем рынка) наблюдалась в ЦФО (26,2%), ПФО (16,1%) и СЗФО (16%).  Однако наиболее высокие темпы роста зафиксированы в ЮФО и СКФО: рост в 2023–2024 гг. составил +101% и +19,6% соответственно. Это свидетельствует о начале рыночной экспансии крупнейших компаний в южные и кавказские регионы, где ранее услуги химчисток были развиты слабо. Такие регионы обладают высоким потенциалом для расширения бизнеса и франчайзинга.</w:t>
      </w:r>
    </w:p>
    <w:p w:rsidR="008B67C5" w:rsidRDefault="008B67C5" w:rsidP="008B67C5">
      <w:pPr>
        <w:spacing w:after="0"/>
        <w:ind w:firstLine="709"/>
        <w:jc w:val="both"/>
      </w:pPr>
      <w:r>
        <w:t>Сегодня основным фактором развития российского рынка химчисток и прачечных являются стабильный спрос, который зависит от конъюнктуры урбанизации. Быстро развиваются сервисные модели и онлайн‑сервисы. Растет интерес к экологичным технологиям и экономии времени.</w:t>
      </w:r>
    </w:p>
    <w:p w:rsidR="008B67C5" w:rsidRDefault="008B67C5" w:rsidP="008B67C5">
      <w:pPr>
        <w:spacing w:after="0"/>
        <w:ind w:firstLine="709"/>
        <w:jc w:val="both"/>
      </w:pPr>
      <w:r>
        <w:t>В целом в 2024 г. динамика рынка несколько замедлилась. Так, объем рынка химчисток и прачечных в России по итогам года увеличился всего на 0,3% по отношению к аналогичному показателю годом ранее и был зафиксирован на отметке в более 13 млрд. руб.</w:t>
      </w:r>
    </w:p>
    <w:p w:rsidR="008B67C5" w:rsidRDefault="008B67C5" w:rsidP="008B67C5">
      <w:pPr>
        <w:spacing w:after="0"/>
        <w:ind w:firstLine="709"/>
        <w:jc w:val="both"/>
      </w:pPr>
      <w:r>
        <w:t>Несмотря на слабую динамику в 2024 г., рынок продолжает восстанавливаться после спада, вызванного пандемией в 2020–2021 гг.  Существенное падение на 29% в 2020 г. объясняется ограничением физического спроса, закрытием торговых точек и сокращением деловой активности. В свою очередь, замедление роста в 2024 г. связано с насыщением основных городов, ростом цен на импортное оборудование и сырье. Но, при этом, объем рынка в 2024 г. достиг своего исторического максимума в ретроспективе периода 2017-2024 гг.</w:t>
      </w:r>
    </w:p>
    <w:p w:rsidR="00F12C76" w:rsidRDefault="008B67C5" w:rsidP="008B67C5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C5"/>
    <w:rsid w:val="002D20C6"/>
    <w:rsid w:val="0054092E"/>
    <w:rsid w:val="006C0B77"/>
    <w:rsid w:val="006D583D"/>
    <w:rsid w:val="007012BB"/>
    <w:rsid w:val="007E2DA2"/>
    <w:rsid w:val="008242FF"/>
    <w:rsid w:val="00870751"/>
    <w:rsid w:val="008B67C5"/>
    <w:rsid w:val="00922C48"/>
    <w:rsid w:val="00B915B7"/>
    <w:rsid w:val="00C66F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6871"/>
  <w15:chartTrackingRefBased/>
  <w15:docId w15:val="{5E24631B-4E65-4B6F-A8DF-B11541E0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B6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7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7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7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7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7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7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7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67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B67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B67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B67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B67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B6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7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7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B67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7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7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B67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2025-10-28T14:46:00Z</dcterms:created>
  <dcterms:modified xsi:type="dcterms:W3CDTF">2025-10-28T15:29:00Z</dcterms:modified>
</cp:coreProperties>
</file>