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0EA" w:rsidRDefault="00581EE4" w:rsidP="006F47D4">
      <w:pPr>
        <w:spacing w:after="0" w:line="240" w:lineRule="auto"/>
        <w:ind w:firstLine="567"/>
        <w:jc w:val="both"/>
        <w:rPr>
          <w:rFonts w:ascii="Arial" w:hAnsi="Arial" w:cs="Arial"/>
          <w:b/>
        </w:rPr>
      </w:pPr>
      <w:r>
        <w:rPr>
          <w:rFonts w:ascii="Arial" w:hAnsi="Arial" w:cs="Arial"/>
          <w:b/>
        </w:rPr>
        <w:t>7</w:t>
      </w:r>
      <w:r w:rsidR="00702AC3">
        <w:rPr>
          <w:rFonts w:ascii="Arial" w:hAnsi="Arial" w:cs="Arial"/>
          <w:b/>
        </w:rPr>
        <w:t xml:space="preserve"> ноября</w:t>
      </w:r>
      <w:r w:rsidR="009233EC">
        <w:rPr>
          <w:rFonts w:ascii="Arial" w:hAnsi="Arial" w:cs="Arial"/>
          <w:b/>
        </w:rPr>
        <w:t xml:space="preserve"> </w:t>
      </w:r>
      <w:r w:rsidR="008530EA">
        <w:rPr>
          <w:rFonts w:ascii="Arial" w:hAnsi="Arial" w:cs="Arial"/>
          <w:b/>
        </w:rPr>
        <w:t>2025г.</w:t>
      </w:r>
    </w:p>
    <w:p w:rsidR="006F47D4" w:rsidRDefault="006F47D4" w:rsidP="006F47D4">
      <w:pPr>
        <w:spacing w:after="0" w:line="240" w:lineRule="auto"/>
        <w:ind w:firstLine="567"/>
        <w:jc w:val="both"/>
        <w:rPr>
          <w:rFonts w:ascii="Arial" w:hAnsi="Arial" w:cs="Arial"/>
          <w:b/>
        </w:rPr>
      </w:pPr>
    </w:p>
    <w:p w:rsidR="00581EE4" w:rsidRPr="00581EE4" w:rsidRDefault="00581EE4" w:rsidP="00581EE4">
      <w:pPr>
        <w:spacing w:after="0" w:line="240" w:lineRule="auto"/>
        <w:ind w:firstLine="567"/>
        <w:jc w:val="both"/>
        <w:rPr>
          <w:rFonts w:ascii="Arial" w:hAnsi="Arial" w:cs="Arial"/>
          <w:b/>
          <w:sz w:val="24"/>
          <w:szCs w:val="24"/>
        </w:rPr>
      </w:pPr>
      <w:bookmarkStart w:id="0" w:name="_GoBack"/>
      <w:r w:rsidRPr="00581EE4">
        <w:rPr>
          <w:rFonts w:ascii="Arial" w:hAnsi="Arial" w:cs="Arial"/>
          <w:b/>
          <w:sz w:val="24"/>
          <w:szCs w:val="24"/>
        </w:rPr>
        <w:t>Синергия бизнеса и государства: как частные инвестиции и господдержка создают новый промышленный ландшафт</w:t>
      </w:r>
    </w:p>
    <w:bookmarkEnd w:id="0"/>
    <w:p w:rsidR="00581EE4" w:rsidRPr="00581EE4" w:rsidRDefault="00581EE4" w:rsidP="00581EE4">
      <w:pPr>
        <w:spacing w:after="0" w:line="240" w:lineRule="auto"/>
        <w:ind w:firstLine="567"/>
        <w:jc w:val="both"/>
        <w:rPr>
          <w:rFonts w:ascii="Arial" w:hAnsi="Arial" w:cs="Arial"/>
          <w:b/>
          <w:sz w:val="24"/>
          <w:szCs w:val="24"/>
        </w:rPr>
      </w:pPr>
    </w:p>
    <w:p w:rsidR="00581EE4" w:rsidRPr="00581EE4" w:rsidRDefault="00581EE4" w:rsidP="00581EE4">
      <w:pPr>
        <w:spacing w:after="0" w:line="240" w:lineRule="auto"/>
        <w:ind w:firstLine="567"/>
        <w:jc w:val="both"/>
        <w:rPr>
          <w:rFonts w:ascii="Arial" w:hAnsi="Arial" w:cs="Arial"/>
          <w:i/>
        </w:rPr>
      </w:pPr>
      <w:r w:rsidRPr="00581EE4">
        <w:rPr>
          <w:rFonts w:ascii="Arial" w:hAnsi="Arial" w:cs="Arial"/>
          <w:i/>
        </w:rPr>
        <w:t>Обеспечение технологического суверенитета России – задача, которая не решается исключительно административными мерами. Ее успех зависит от сложного взаимодействия трех сил: инициативы ответственного бизнеса, регуляторной и финансовой поддержки Минпромторга и экспертно-инфраструктурных возможностей Торгово-промышленной палаты (ТПП) РФ. Именно в этой триаде рождается синергетический эффект, способный не просто заместить импорт, но и создать конкурентоспособные отечественные производства с опорой на собственные научные разработки, комментирует руководитель направления корпоративных коммуникаций ООО «НЭК ТЕХ» Людмила Лещинская.</w:t>
      </w:r>
    </w:p>
    <w:p w:rsidR="00581EE4" w:rsidRPr="00581EE4" w:rsidRDefault="00581EE4" w:rsidP="00581EE4">
      <w:pPr>
        <w:spacing w:after="0" w:line="240" w:lineRule="auto"/>
        <w:ind w:firstLine="567"/>
        <w:jc w:val="both"/>
        <w:rPr>
          <w:rFonts w:ascii="Arial" w:hAnsi="Arial" w:cs="Arial"/>
        </w:rPr>
      </w:pPr>
    </w:p>
    <w:p w:rsidR="00581EE4" w:rsidRPr="00581EE4" w:rsidRDefault="00581EE4" w:rsidP="00581EE4">
      <w:pPr>
        <w:spacing w:after="0" w:line="240" w:lineRule="auto"/>
        <w:ind w:firstLine="567"/>
        <w:jc w:val="both"/>
        <w:rPr>
          <w:rFonts w:ascii="Arial" w:hAnsi="Arial" w:cs="Arial"/>
          <w:b/>
        </w:rPr>
      </w:pPr>
      <w:r w:rsidRPr="00581EE4">
        <w:rPr>
          <w:rFonts w:ascii="Arial" w:hAnsi="Arial" w:cs="Arial"/>
          <w:b/>
        </w:rPr>
        <w:t>Экспертиза ТПП как драйвер технологического суверенитета</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 xml:space="preserve">В условиях формирования новой архитектуры мировой экономики и необходимости обеспечения технологической независимости страны на первый план выходит эффективность поддержки отечественных производителей и разработчиков. Ключевую роль в этом процессе играют институты развития, обладающие компетенциями для практической помощи бизнесу. </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Одним из таких институтов является Торгово-промышленная палата (ТПП) РФ, экспертный потенциал которой становится критически важным активом для укрепления позиций российских компаний.</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Работа экспертов ТПП выходит далеко за рамки консультационной деятельности. Речь идет о комплексном сопровождении предприятий на всех этапах – от разработки продукта до его вывода на рынок. В рамках импортозамещения и программ локализации именно ТПП выступает связующим звеном между бизнесом и государством, обеспечивая диалог на понятном для обеих сторон языке.</w:t>
      </w:r>
    </w:p>
    <w:p w:rsidR="00581EE4" w:rsidRPr="00581EE4" w:rsidRDefault="00581EE4" w:rsidP="00581EE4">
      <w:pPr>
        <w:spacing w:after="0" w:line="240" w:lineRule="auto"/>
        <w:ind w:firstLine="567"/>
        <w:jc w:val="both"/>
        <w:rPr>
          <w:rFonts w:ascii="Arial" w:hAnsi="Arial" w:cs="Arial"/>
          <w:b/>
        </w:rPr>
      </w:pPr>
      <w:r w:rsidRPr="00581EE4">
        <w:rPr>
          <w:rFonts w:ascii="Arial" w:hAnsi="Arial" w:cs="Arial"/>
          <w:b/>
        </w:rPr>
        <w:t>Практическая помощь в локализации и сертификации</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Одним из наиболее востребованных направлений работы является экспертно-аналитическая поддержка процессов локализации. Специалисты ТПП помогают производителям провести аудит цепочек поставок, идентифицировать критически важные импортные компоненты и найти им отечественные аналоги. Эта работа включает не только поиск поставщиков, но и организацию взаимодействия между ними, что способствует формированию устойчивых кооперационных связей между производителями внутри страны.</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Не менее важна функция ТПП в области стандартизации и подтверждения соответствия. Акт экспертизы с заключением ТПП о российском происхождении продукции и степени локализации открывает производителям и разработчикам путь к участию в государственных закупках и к участию в крупных проектах. Эта процедура зачастую становится серьезным барьером для малых и средних предприятий, и квалифицированная помощь экспертов торгово-промышленной палаты позволяет его преодолеть в сжатые сроки.</w:t>
      </w:r>
    </w:p>
    <w:p w:rsidR="00581EE4" w:rsidRPr="00581EE4" w:rsidRDefault="00581EE4" w:rsidP="00581EE4">
      <w:pPr>
        <w:spacing w:after="0" w:line="240" w:lineRule="auto"/>
        <w:ind w:firstLine="567"/>
        <w:jc w:val="both"/>
        <w:rPr>
          <w:rFonts w:ascii="Arial" w:hAnsi="Arial" w:cs="Arial"/>
          <w:b/>
        </w:rPr>
      </w:pPr>
      <w:r w:rsidRPr="00581EE4">
        <w:rPr>
          <w:rFonts w:ascii="Arial" w:hAnsi="Arial" w:cs="Arial"/>
          <w:b/>
        </w:rPr>
        <w:t>Стимулирование инноваций и защита интересов бизнеса</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 xml:space="preserve">Для разработчиков новых решений ТПП и Министерство промышленности и торговли России предоставляет площадку для демонстрации своих продуктов, организуя выставки, </w:t>
      </w:r>
      <w:r w:rsidRPr="00581EE4">
        <w:rPr>
          <w:rFonts w:ascii="Arial" w:hAnsi="Arial" w:cs="Arial"/>
        </w:rPr>
        <w:lastRenderedPageBreak/>
        <w:t>форумы и бизнес-миссии. Это позволяет компаниям не только заявить о себе, но и получить обратную связь от потенциальных потребителей и отраслевых специалистов, скорректировав разработку под реальные рыночные запросы.</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Кроме того, ТПП и Минпромторг России активно участвуют в правовом поле, защищая интересы российского бизнеса. Эксперты готовят заключения на проекты нормативных актов, влияющих на производственный сектор, инициируют изменения в законодательстве, устраняющие избыточные административные барьеры. И это нормотворческая работа создает более благоприятную среду для развития промышленности и внедрения инноваций.</w:t>
      </w:r>
    </w:p>
    <w:p w:rsidR="00581EE4" w:rsidRPr="00581EE4" w:rsidRDefault="00581EE4" w:rsidP="00581EE4">
      <w:pPr>
        <w:spacing w:after="0" w:line="240" w:lineRule="auto"/>
        <w:ind w:firstLine="567"/>
        <w:jc w:val="both"/>
        <w:rPr>
          <w:rFonts w:ascii="Arial" w:hAnsi="Arial" w:cs="Arial"/>
          <w:b/>
        </w:rPr>
      </w:pPr>
      <w:r w:rsidRPr="00581EE4">
        <w:rPr>
          <w:rFonts w:ascii="Arial" w:hAnsi="Arial" w:cs="Arial"/>
          <w:b/>
        </w:rPr>
        <w:t>От сырьевой зависимости к технологическому суверенитету</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Ярким примером взаимодействия бизнеса, регуляторов и экспертов для обеспечения технологического суверенитета России, является деятельность Группы «НЭК» (АО «Национальная энергетическая компания»). Объединяя 10 промышленных предприятий, Группа демонстрирует, как частные инвестиции, умноженные на государственную политику импортозамещения, дают реальный промышленный результат.</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В 2024 году Группа запустила в Тульской области первый в России завод по производству огнестойкого турбинного масла. Инвестиции в первую очередь превысили 1 млрд рублей. Этот проект ликвидировал стопроцентную зависимость российских энергогигантов, таких как «Интер РАО» и «Росэнергоатом», от иностранных поставок. Сейчас компания наращивает мощность до 2500 тонн в год, что является прямым следствием как бизнес-инициативы, так и созданного государством спроса в критически важной отрасли.</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Схожая история – с заводом «НАРТИС», входящим в Группу «НЭК». Открытие в октябре 2025 года нового корпуса с инвестициями в 2,1 млрд руб. – это не просто экстенсивный рост. Это создание высокотехнологичного производства, оснащенного роботами-манипуляторами и системами контроля качества на основе искусственного интеллекта. Подобные проекты были бы невозможны без скоординированной работы с Минпромторгом по критериям локализации и поддержки ТПП России.</w:t>
      </w:r>
    </w:p>
    <w:p w:rsidR="00581EE4" w:rsidRPr="00581EE4" w:rsidRDefault="00581EE4" w:rsidP="00581EE4">
      <w:pPr>
        <w:spacing w:after="0" w:line="240" w:lineRule="auto"/>
        <w:ind w:firstLine="567"/>
        <w:jc w:val="both"/>
        <w:rPr>
          <w:rFonts w:ascii="Arial" w:hAnsi="Arial" w:cs="Arial"/>
          <w:b/>
        </w:rPr>
      </w:pPr>
      <w:r w:rsidRPr="00581EE4">
        <w:rPr>
          <w:rFonts w:ascii="Arial" w:hAnsi="Arial" w:cs="Arial"/>
          <w:b/>
        </w:rPr>
        <w:t>Глубокая локализация как национальный приоритет</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 xml:space="preserve">Заметный вклад Группа «НЭК» делает и в развитие отечественной микроэлектроники. Единый научно-технический центр «НЭК.ТЕХ» разрабатывает полностью российскую микросхему аналогово-цифрового преобразователя. Этот пример перехода от простой сборки к созданию собственной элементной базы, соответствует высшим критериям локализации Минпромторга и напрямую работает на энергетическую безопасность страны. </w:t>
      </w:r>
    </w:p>
    <w:p w:rsidR="00581EE4" w:rsidRDefault="00581EE4" w:rsidP="00581EE4">
      <w:pPr>
        <w:spacing w:after="0" w:line="240" w:lineRule="auto"/>
        <w:ind w:firstLine="567"/>
        <w:jc w:val="both"/>
        <w:rPr>
          <w:rFonts w:ascii="Arial" w:hAnsi="Arial" w:cs="Arial"/>
        </w:rPr>
      </w:pPr>
      <w:r w:rsidRPr="00581EE4">
        <w:rPr>
          <w:rFonts w:ascii="Arial" w:hAnsi="Arial" w:cs="Arial"/>
        </w:rPr>
        <w:t xml:space="preserve">Реализация таких высокотехнологичных проектов обеспечивается, в том числе, за счет системной поддержки со стороны Торгово-промышленной палаты России. Как отмечают эксперты, ТПП РФ под руководством Сергея </w:t>
      </w:r>
      <w:proofErr w:type="spellStart"/>
      <w:r w:rsidRPr="00581EE4">
        <w:rPr>
          <w:rFonts w:ascii="Arial" w:hAnsi="Arial" w:cs="Arial"/>
        </w:rPr>
        <w:t>Катырина</w:t>
      </w:r>
      <w:proofErr w:type="spellEnd"/>
      <w:r w:rsidRPr="00581EE4">
        <w:rPr>
          <w:rFonts w:ascii="Arial" w:hAnsi="Arial" w:cs="Arial"/>
        </w:rPr>
        <w:t>, выстроила единую и согласованную систему, объединяющую региональные и муниципальные палаты. Ключевую роль в этой работе играет Департамент методического обеспечения, проведения сертификации и подтверждения производства промышленной продукции ТПП РФ. Под руководством Евгения Ильичева, Департамент последовательно выступает за снижение административных барьеров и оказывает адресную поддержку бизнес-инициативам в сфере импортозамещения.</w:t>
      </w:r>
    </w:p>
    <w:p w:rsidR="00581EE4" w:rsidRDefault="00581EE4" w:rsidP="00581EE4">
      <w:pPr>
        <w:spacing w:after="0" w:line="240" w:lineRule="auto"/>
        <w:ind w:firstLine="567"/>
        <w:jc w:val="both"/>
        <w:rPr>
          <w:rFonts w:ascii="Arial" w:hAnsi="Arial" w:cs="Arial"/>
        </w:rPr>
      </w:pPr>
    </w:p>
    <w:p w:rsidR="00581EE4" w:rsidRDefault="00581EE4" w:rsidP="00581EE4">
      <w:pPr>
        <w:spacing w:after="0" w:line="240" w:lineRule="auto"/>
        <w:ind w:firstLine="567"/>
        <w:jc w:val="both"/>
        <w:rPr>
          <w:rFonts w:ascii="Arial" w:hAnsi="Arial" w:cs="Arial"/>
        </w:rPr>
      </w:pPr>
    </w:p>
    <w:p w:rsidR="00581EE4" w:rsidRDefault="00581EE4" w:rsidP="00581EE4">
      <w:pPr>
        <w:spacing w:after="0" w:line="240" w:lineRule="auto"/>
        <w:ind w:firstLine="567"/>
        <w:jc w:val="both"/>
        <w:rPr>
          <w:rFonts w:ascii="Arial" w:hAnsi="Arial" w:cs="Arial"/>
        </w:rPr>
      </w:pP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lastRenderedPageBreak/>
        <w:t>На региональном уровне, в частности, практическое сопровождение проектов осуществляет Торгово-промышленная палата Санкт-Петербурга. Ее эксперты предоставляют разработчикам комплексный сервис: содействуют в сертификации продукции в соответствии с ГОСТ и требованиями законодательства, обеспечивают правовую поддержку и помогают в поиске надежных поставщиков для формирования новых производственных цепочек. Эта работа создает реальные условия для ускоренного вывода на рынок перспективных отечественных решений.</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Эффект синергии регуляторов, экспертов и бизнеса проявляется и в региональном развитии. Группа «НЭК» открывает новые производственные площадки – завод высоковольтного оборудования в ОЭЗ «Липецк» (инвестиции 3,5 млрд руб.), вторая очередь завода «</w:t>
      </w:r>
      <w:proofErr w:type="spellStart"/>
      <w:r w:rsidRPr="00581EE4">
        <w:rPr>
          <w:rFonts w:ascii="Arial" w:hAnsi="Arial" w:cs="Arial"/>
        </w:rPr>
        <w:t>Юнител</w:t>
      </w:r>
      <w:proofErr w:type="spellEnd"/>
      <w:r w:rsidRPr="00581EE4">
        <w:rPr>
          <w:rFonts w:ascii="Arial" w:hAnsi="Arial" w:cs="Arial"/>
        </w:rPr>
        <w:t xml:space="preserve"> Инжиниринг» в Чувашии и модернизация «</w:t>
      </w:r>
      <w:proofErr w:type="spellStart"/>
      <w:r w:rsidRPr="00581EE4">
        <w:rPr>
          <w:rFonts w:ascii="Arial" w:hAnsi="Arial" w:cs="Arial"/>
        </w:rPr>
        <w:t>Мосэлектрощита</w:t>
      </w:r>
      <w:proofErr w:type="spellEnd"/>
      <w:r w:rsidRPr="00581EE4">
        <w:rPr>
          <w:rFonts w:ascii="Arial" w:hAnsi="Arial" w:cs="Arial"/>
        </w:rPr>
        <w:t>» во Владимирской области – создают сотни рабочих мест и становятся точками роста для региональной промышленности.</w:t>
      </w:r>
    </w:p>
    <w:p w:rsidR="00581EE4" w:rsidRPr="00581EE4" w:rsidRDefault="00581EE4" w:rsidP="00581EE4">
      <w:pPr>
        <w:spacing w:after="0" w:line="240" w:lineRule="auto"/>
        <w:ind w:firstLine="567"/>
        <w:jc w:val="both"/>
        <w:rPr>
          <w:rFonts w:ascii="Arial" w:hAnsi="Arial" w:cs="Arial"/>
          <w:b/>
        </w:rPr>
      </w:pPr>
      <w:r w:rsidRPr="00581EE4">
        <w:rPr>
          <w:rFonts w:ascii="Arial" w:hAnsi="Arial" w:cs="Arial"/>
          <w:b/>
        </w:rPr>
        <w:t>Вклад в технологический суверенитет</w:t>
      </w:r>
    </w:p>
    <w:p w:rsidR="00581EE4" w:rsidRPr="00581EE4" w:rsidRDefault="00581EE4" w:rsidP="00581EE4">
      <w:pPr>
        <w:spacing w:after="0" w:line="240" w:lineRule="auto"/>
        <w:ind w:firstLine="567"/>
        <w:jc w:val="both"/>
        <w:rPr>
          <w:rFonts w:ascii="Arial" w:hAnsi="Arial" w:cs="Arial"/>
        </w:rPr>
      </w:pPr>
      <w:r w:rsidRPr="00581EE4">
        <w:rPr>
          <w:rFonts w:ascii="Arial" w:hAnsi="Arial" w:cs="Arial"/>
        </w:rPr>
        <w:t>Совокупность совместных усилий бизнеса и государства напрямую работает на укрепление технологического суверенитета России. Продуманная государственная политика в области локализации, подкрепленная инициативой и капиталом ответственного бизнеса, создает мультипликативный эффект. Технологии, кооперационные цепочки и компетенции остаются в стране, формируя прочный фундамент для ее технологического суверенитета. Помощь в локализации снижает зависимость от иностранных компонентов и технологий, а поддержка отечественных разработчиков стимулирует создание собственных конкурентных решений. В результате формируется устойчивая национальная экосистема, способная обеспечивать базовые потребности экономики и безопасности страны.</w:t>
      </w:r>
    </w:p>
    <w:p w:rsidR="009233EC" w:rsidRPr="00581EE4" w:rsidRDefault="009233EC" w:rsidP="006F47D4">
      <w:pPr>
        <w:spacing w:after="0" w:line="240" w:lineRule="auto"/>
        <w:ind w:firstLine="567"/>
        <w:jc w:val="both"/>
        <w:rPr>
          <w:rFonts w:ascii="Arial" w:hAnsi="Arial" w:cs="Arial"/>
          <w:b/>
        </w:rPr>
      </w:pPr>
    </w:p>
    <w:sectPr w:rsidR="009233EC" w:rsidRPr="00581EE4" w:rsidSect="00C60137">
      <w:headerReference w:type="default" r:id="rId6"/>
      <w:footerReference w:type="default" r:id="rId7"/>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E12" w:rsidRDefault="00471E12" w:rsidP="008530EA">
      <w:pPr>
        <w:spacing w:after="0" w:line="240" w:lineRule="auto"/>
      </w:pPr>
      <w:r>
        <w:separator/>
      </w:r>
    </w:p>
  </w:endnote>
  <w:endnote w:type="continuationSeparator" w:id="0">
    <w:p w:rsidR="00471E12" w:rsidRDefault="00471E12" w:rsidP="0085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olos Text">
    <w:panose1 w:val="020B0503020202020204"/>
    <w:charset w:val="CC"/>
    <w:family w:val="swiss"/>
    <w:pitch w:val="variable"/>
    <w:sig w:usb0="A000026F" w:usb1="100000EB" w:usb2="00000008"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0EA" w:rsidRDefault="008530EA" w:rsidP="00C60137">
    <w:pPr>
      <w:spacing w:after="0" w:line="240" w:lineRule="auto"/>
      <w:jc w:val="both"/>
      <w:rPr>
        <w:rFonts w:ascii="Golos Text" w:hAnsi="Golos Text" w:cs="Arial"/>
        <w:noProof/>
        <w:sz w:val="16"/>
        <w:szCs w:val="16"/>
      </w:rPr>
    </w:pPr>
    <w:r w:rsidRPr="007940FB">
      <w:rPr>
        <w:rFonts w:ascii="Golos Text" w:hAnsi="Golos Text" w:cs="Arial"/>
        <w:b/>
        <w:noProof/>
        <w:sz w:val="16"/>
        <w:szCs w:val="16"/>
      </w:rPr>
      <w:t>ООО «НЭК.ТЕХ»</w:t>
    </w:r>
    <w:r w:rsidRPr="007940FB">
      <w:rPr>
        <w:rFonts w:ascii="Golos Text" w:hAnsi="Golos Text" w:cs="Arial"/>
        <w:noProof/>
        <w:sz w:val="16"/>
        <w:szCs w:val="16"/>
      </w:rPr>
      <w:t xml:space="preserve"> является частью </w:t>
    </w:r>
    <w:r w:rsidR="0003766A">
      <w:rPr>
        <w:rFonts w:ascii="Golos Text" w:hAnsi="Golos Text" w:cs="Arial"/>
        <w:noProof/>
        <w:sz w:val="16"/>
        <w:szCs w:val="16"/>
      </w:rPr>
      <w:t>Г</w:t>
    </w:r>
    <w:r w:rsidRPr="007940FB">
      <w:rPr>
        <w:rFonts w:ascii="Golos Text" w:hAnsi="Golos Text" w:cs="Arial"/>
        <w:noProof/>
        <w:sz w:val="16"/>
        <w:szCs w:val="16"/>
      </w:rPr>
      <w:t>руппы «НЭК» (АО «Национальная энергетическая компания»)</w:t>
    </w:r>
    <w:r>
      <w:rPr>
        <w:rFonts w:ascii="Golos Text" w:hAnsi="Golos Text" w:cs="Arial"/>
        <w:noProof/>
        <w:sz w:val="16"/>
        <w:szCs w:val="16"/>
      </w:rPr>
      <w:t xml:space="preserve"> и </w:t>
    </w:r>
    <w:r w:rsidRPr="00D15649">
      <w:rPr>
        <w:rFonts w:ascii="Golos Text" w:hAnsi="Golos Text" w:cs="Arial"/>
        <w:noProof/>
        <w:sz w:val="16"/>
        <w:szCs w:val="16"/>
      </w:rPr>
      <w:t>является аккредитованной IT-компанией</w:t>
    </w:r>
    <w:r>
      <w:rPr>
        <w:rFonts w:ascii="Golos Text" w:hAnsi="Golos Text" w:cs="Arial"/>
        <w:noProof/>
        <w:sz w:val="16"/>
        <w:szCs w:val="16"/>
      </w:rPr>
      <w:t>, которая осу</w:t>
    </w:r>
    <w:r w:rsidRPr="00D15649">
      <w:rPr>
        <w:rFonts w:ascii="Golos Text" w:hAnsi="Golos Text" w:cs="Arial"/>
        <w:noProof/>
        <w:sz w:val="16"/>
        <w:szCs w:val="16"/>
      </w:rPr>
      <w:t>ществляет научно-исследовательскую, опытно-конструкторскую деятельность, разработку электронной компонентной базы, электронной продукции, технических регламентов и нормативной документации, а также телекоммуникационных систем, защищенных с использованием криптографических средств защиты информации.</w:t>
    </w:r>
    <w:r w:rsidRPr="00D15649">
      <w:t xml:space="preserve"> </w:t>
    </w:r>
    <w:hyperlink r:id="rId1" w:history="1">
      <w:r w:rsidRPr="00AA1F5B">
        <w:rPr>
          <w:rStyle w:val="a9"/>
          <w:rFonts w:ascii="Golos Text" w:hAnsi="Golos Text" w:cs="Arial"/>
          <w:noProof/>
          <w:sz w:val="16"/>
          <w:szCs w:val="16"/>
        </w:rPr>
        <w:t>https://nectech.pro/</w:t>
      </w:r>
    </w:hyperlink>
    <w:r>
      <w:rPr>
        <w:rFonts w:ascii="Golos Text" w:hAnsi="Golos Text" w:cs="Arial"/>
        <w:noProof/>
        <w:sz w:val="16"/>
        <w:szCs w:val="16"/>
      </w:rPr>
      <w:t xml:space="preserve"> </w:t>
    </w:r>
  </w:p>
  <w:p w:rsidR="006C7DA0" w:rsidRPr="006C7DA0" w:rsidRDefault="006C7DA0" w:rsidP="006C7DA0">
    <w:pPr>
      <w:spacing w:after="0"/>
      <w:jc w:val="both"/>
      <w:rPr>
        <w:rFonts w:ascii="Golos Text" w:hAnsi="Golos Text" w:cs="Arial"/>
        <w:noProof/>
        <w:sz w:val="16"/>
        <w:szCs w:val="16"/>
      </w:rPr>
    </w:pPr>
    <w:r w:rsidRPr="006C7DA0">
      <w:rPr>
        <w:rFonts w:ascii="Golos Text" w:hAnsi="Golos Text" w:cs="Arial"/>
        <w:b/>
        <w:noProof/>
        <w:sz w:val="16"/>
        <w:szCs w:val="16"/>
      </w:rPr>
      <w:t xml:space="preserve">Группа «НЭК» (АО «Национальная энергетическая компания») </w:t>
    </w:r>
    <w:r w:rsidRPr="006C7DA0">
      <w:rPr>
        <w:rFonts w:ascii="Golos Text" w:hAnsi="Golos Text" w:cs="Arial"/>
        <w:noProof/>
        <w:sz w:val="16"/>
        <w:szCs w:val="16"/>
      </w:rPr>
      <w:t>– это объединение предприятий, которые производят инновационные российские продукты и оказывают услуги для электроэнергетики и промышленности.</w:t>
    </w:r>
  </w:p>
  <w:p w:rsidR="008530EA" w:rsidRPr="006C7DA0" w:rsidRDefault="006C7DA0" w:rsidP="006C7DA0">
    <w:pPr>
      <w:spacing w:after="0"/>
      <w:jc w:val="both"/>
    </w:pPr>
    <w:r w:rsidRPr="006C7DA0">
      <w:rPr>
        <w:rFonts w:ascii="Golos Text" w:hAnsi="Golos Text" w:cs="Arial"/>
        <w:noProof/>
        <w:sz w:val="16"/>
        <w:szCs w:val="16"/>
      </w:rPr>
      <w:t xml:space="preserve">Сегодня в Группу входят предприятия: ООО «Юнител Инжиниринг», ООО «Мосэлектрощит», ООО «НТЗМК», ООО «Энхим», ООО «НЭК.ТЕХ», ООО «НАРТИС», ООО «ИНКОНТРОЛ», ООО «РТК-ЭЛЕКТРО-М», ООО «ЛЗВО» и  ООО «Электрощит-К°»  с совокупной выручкой, превышающей 70 млрд рублей и с количеством персонала свыше 4 тыс. человек. Официальный сайт компании: </w:t>
    </w:r>
    <w:hyperlink r:id="rId2" w:history="1">
      <w:r w:rsidR="009007E4" w:rsidRPr="000E6546">
        <w:rPr>
          <w:rStyle w:val="a9"/>
          <w:rFonts w:ascii="Golos Text" w:hAnsi="Golos Text" w:cs="Arial"/>
          <w:noProof/>
          <w:sz w:val="16"/>
          <w:szCs w:val="16"/>
        </w:rPr>
        <w:t>www.nec.pro</w:t>
      </w:r>
    </w:hyperlink>
    <w:r w:rsidR="009007E4">
      <w:rPr>
        <w:rFonts w:ascii="Golos Text" w:hAnsi="Golos Text" w:cs="Arial"/>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E12" w:rsidRDefault="00471E12" w:rsidP="008530EA">
      <w:pPr>
        <w:spacing w:after="0" w:line="240" w:lineRule="auto"/>
      </w:pPr>
      <w:r>
        <w:separator/>
      </w:r>
    </w:p>
  </w:footnote>
  <w:footnote w:type="continuationSeparator" w:id="0">
    <w:p w:rsidR="00471E12" w:rsidRDefault="00471E12" w:rsidP="0085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0EA" w:rsidRDefault="008530EA" w:rsidP="008530EA">
    <w:pPr>
      <w:pStyle w:val="a5"/>
      <w:ind w:left="284" w:hanging="284"/>
    </w:pPr>
  </w:p>
  <w:tbl>
    <w:tblPr>
      <w:tblStyle w:val="ac"/>
      <w:tblW w:w="962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4607"/>
    </w:tblGrid>
    <w:tr w:rsidR="008530EA" w:rsidTr="0031722F">
      <w:tc>
        <w:tcPr>
          <w:tcW w:w="5021" w:type="dxa"/>
        </w:tcPr>
        <w:p w:rsidR="008530EA" w:rsidRDefault="008530EA" w:rsidP="008530EA">
          <w:pPr>
            <w:pStyle w:val="a5"/>
            <w:ind w:left="32"/>
            <w:jc w:val="both"/>
          </w:pPr>
          <w:r>
            <w:rPr>
              <w:noProof/>
            </w:rPr>
            <w:drawing>
              <wp:inline distT="0" distB="0" distL="0" distR="0" wp14:anchorId="1B3E25CD" wp14:editId="3A3CF813">
                <wp:extent cx="2758440" cy="613405"/>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032" cy="634217"/>
                        </a:xfrm>
                        <a:prstGeom prst="rect">
                          <a:avLst/>
                        </a:prstGeom>
                        <a:noFill/>
                        <a:ln>
                          <a:noFill/>
                        </a:ln>
                      </pic:spPr>
                    </pic:pic>
                  </a:graphicData>
                </a:graphic>
              </wp:inline>
            </w:drawing>
          </w:r>
        </w:p>
      </w:tc>
      <w:tc>
        <w:tcPr>
          <w:tcW w:w="4607" w:type="dxa"/>
        </w:tcPr>
        <w:p w:rsidR="008530EA" w:rsidRDefault="008530EA" w:rsidP="008530EA">
          <w:pPr>
            <w:shd w:val="clear" w:color="auto" w:fill="FFFFFF"/>
            <w:spacing w:line="396" w:lineRule="atLeast"/>
            <w:jc w:val="right"/>
            <w:rPr>
              <w:rFonts w:ascii="Arial" w:eastAsia="Times New Roman" w:hAnsi="Arial" w:cs="Arial"/>
              <w:sz w:val="20"/>
              <w:szCs w:val="20"/>
              <w:lang w:eastAsia="ru-RU"/>
            </w:rPr>
          </w:pPr>
          <w:r>
            <w:rPr>
              <w:rFonts w:ascii="Arial" w:eastAsia="Times New Roman" w:hAnsi="Arial" w:cs="Arial"/>
              <w:sz w:val="20"/>
              <w:szCs w:val="20"/>
              <w:lang w:eastAsia="ru-RU"/>
            </w:rPr>
            <w:t>ООО «НЭК ТЕХ»</w:t>
          </w:r>
        </w:p>
        <w:p w:rsidR="008530EA" w:rsidRPr="002B66E0" w:rsidRDefault="008530EA" w:rsidP="008530EA">
          <w:pPr>
            <w:shd w:val="clear" w:color="auto" w:fill="FFFFFF"/>
            <w:spacing w:line="396" w:lineRule="atLeast"/>
            <w:jc w:val="right"/>
            <w:rPr>
              <w:rFonts w:ascii="Arial" w:eastAsia="Times New Roman" w:hAnsi="Arial" w:cs="Arial"/>
              <w:sz w:val="20"/>
              <w:szCs w:val="20"/>
              <w:lang w:eastAsia="ru-RU"/>
            </w:rPr>
          </w:pPr>
          <w:r>
            <w:rPr>
              <w:rFonts w:ascii="Arial" w:eastAsia="Times New Roman" w:hAnsi="Arial" w:cs="Arial"/>
              <w:sz w:val="20"/>
              <w:szCs w:val="20"/>
              <w:lang w:eastAsia="ru-RU"/>
            </w:rPr>
            <w:t xml:space="preserve">г. </w:t>
          </w:r>
          <w:r w:rsidRPr="002B66E0">
            <w:rPr>
              <w:rFonts w:ascii="Arial" w:eastAsia="Times New Roman" w:hAnsi="Arial" w:cs="Arial"/>
              <w:sz w:val="20"/>
              <w:szCs w:val="20"/>
              <w:lang w:eastAsia="ru-RU"/>
            </w:rPr>
            <w:t>Санкт-Петербург</w:t>
          </w:r>
        </w:p>
        <w:p w:rsidR="008530EA" w:rsidRDefault="008530EA" w:rsidP="008530EA">
          <w:pPr>
            <w:shd w:val="clear" w:color="auto" w:fill="FFFFFF"/>
            <w:jc w:val="right"/>
            <w:rPr>
              <w:rFonts w:ascii="Arial" w:eastAsia="Times New Roman" w:hAnsi="Arial" w:cs="Arial"/>
              <w:sz w:val="20"/>
              <w:szCs w:val="20"/>
              <w:lang w:eastAsia="ru-RU"/>
            </w:rPr>
          </w:pPr>
          <w:r w:rsidRPr="002B66E0">
            <w:rPr>
              <w:rFonts w:ascii="Arial" w:eastAsia="Times New Roman" w:hAnsi="Arial" w:cs="Arial"/>
              <w:sz w:val="20"/>
              <w:szCs w:val="20"/>
              <w:lang w:eastAsia="ru-RU"/>
            </w:rPr>
            <w:t>ул. Шателена, д. 26, лит. А</w:t>
          </w:r>
        </w:p>
        <w:p w:rsidR="008530EA" w:rsidRDefault="008530EA" w:rsidP="008530EA">
          <w:pPr>
            <w:shd w:val="clear" w:color="auto" w:fill="FFFFFF"/>
            <w:jc w:val="right"/>
            <w:rPr>
              <w:rFonts w:ascii="Arial" w:eastAsia="Times New Roman" w:hAnsi="Arial" w:cs="Arial"/>
              <w:sz w:val="20"/>
              <w:szCs w:val="20"/>
              <w:lang w:eastAsia="ru-RU"/>
            </w:rPr>
          </w:pPr>
          <w:r w:rsidRPr="002B66E0">
            <w:rPr>
              <w:rFonts w:ascii="Arial" w:eastAsia="Times New Roman" w:hAnsi="Arial" w:cs="Arial"/>
              <w:sz w:val="20"/>
              <w:szCs w:val="20"/>
              <w:lang w:eastAsia="ru-RU"/>
            </w:rPr>
            <w:t>+7 (812) 448-56-98</w:t>
          </w:r>
        </w:p>
        <w:p w:rsidR="008530EA" w:rsidRDefault="00471E12" w:rsidP="008530EA">
          <w:pPr>
            <w:shd w:val="clear" w:color="auto" w:fill="FFFFFF"/>
            <w:jc w:val="right"/>
          </w:pPr>
          <w:hyperlink r:id="rId2" w:history="1">
            <w:r w:rsidR="008530EA" w:rsidRPr="00AA1F5B">
              <w:rPr>
                <w:rStyle w:val="a9"/>
                <w:rFonts w:ascii="Arial" w:eastAsia="Times New Roman" w:hAnsi="Arial" w:cs="Arial"/>
                <w:sz w:val="20"/>
                <w:szCs w:val="20"/>
                <w:lang w:eastAsia="ru-RU"/>
              </w:rPr>
              <w:t>https://nectech.pro/</w:t>
            </w:r>
          </w:hyperlink>
        </w:p>
      </w:tc>
    </w:tr>
  </w:tbl>
  <w:p w:rsidR="008530EA" w:rsidRDefault="008530EA" w:rsidP="008530E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EA"/>
    <w:rsid w:val="00021F7E"/>
    <w:rsid w:val="000364C4"/>
    <w:rsid w:val="0003766A"/>
    <w:rsid w:val="00041009"/>
    <w:rsid w:val="00042C52"/>
    <w:rsid w:val="0006417C"/>
    <w:rsid w:val="00064726"/>
    <w:rsid w:val="000C0B34"/>
    <w:rsid w:val="000C2BE3"/>
    <w:rsid w:val="000D1477"/>
    <w:rsid w:val="000F6625"/>
    <w:rsid w:val="001211A4"/>
    <w:rsid w:val="001218E1"/>
    <w:rsid w:val="0012583E"/>
    <w:rsid w:val="00144A19"/>
    <w:rsid w:val="001A48B4"/>
    <w:rsid w:val="001B3999"/>
    <w:rsid w:val="001E0BE3"/>
    <w:rsid w:val="00234C97"/>
    <w:rsid w:val="002E35F0"/>
    <w:rsid w:val="00307284"/>
    <w:rsid w:val="00313A35"/>
    <w:rsid w:val="003228ED"/>
    <w:rsid w:val="00331147"/>
    <w:rsid w:val="003672ED"/>
    <w:rsid w:val="0039771E"/>
    <w:rsid w:val="003A5AC1"/>
    <w:rsid w:val="003B7850"/>
    <w:rsid w:val="003C667C"/>
    <w:rsid w:val="00400273"/>
    <w:rsid w:val="00421794"/>
    <w:rsid w:val="00426FC4"/>
    <w:rsid w:val="00456703"/>
    <w:rsid w:val="00460C48"/>
    <w:rsid w:val="00471E12"/>
    <w:rsid w:val="00486F63"/>
    <w:rsid w:val="004C7D29"/>
    <w:rsid w:val="004D3F2F"/>
    <w:rsid w:val="004D4029"/>
    <w:rsid w:val="004F0BBD"/>
    <w:rsid w:val="004F6528"/>
    <w:rsid w:val="005002AE"/>
    <w:rsid w:val="00503532"/>
    <w:rsid w:val="00503986"/>
    <w:rsid w:val="0052724F"/>
    <w:rsid w:val="0052737B"/>
    <w:rsid w:val="00535384"/>
    <w:rsid w:val="005672D7"/>
    <w:rsid w:val="00581EE4"/>
    <w:rsid w:val="0058214E"/>
    <w:rsid w:val="00585157"/>
    <w:rsid w:val="005A1C41"/>
    <w:rsid w:val="005C7D4F"/>
    <w:rsid w:val="005E6B7A"/>
    <w:rsid w:val="005F3FBC"/>
    <w:rsid w:val="0061448E"/>
    <w:rsid w:val="00647F53"/>
    <w:rsid w:val="00656AED"/>
    <w:rsid w:val="006651E7"/>
    <w:rsid w:val="006914D8"/>
    <w:rsid w:val="006942F2"/>
    <w:rsid w:val="006C7DA0"/>
    <w:rsid w:val="006F47D4"/>
    <w:rsid w:val="00702AC3"/>
    <w:rsid w:val="00713457"/>
    <w:rsid w:val="00715DF2"/>
    <w:rsid w:val="0076668D"/>
    <w:rsid w:val="00780904"/>
    <w:rsid w:val="007A7086"/>
    <w:rsid w:val="008023ED"/>
    <w:rsid w:val="00806F06"/>
    <w:rsid w:val="0085207B"/>
    <w:rsid w:val="008530EA"/>
    <w:rsid w:val="008723A4"/>
    <w:rsid w:val="00887A72"/>
    <w:rsid w:val="00892B56"/>
    <w:rsid w:val="009007E4"/>
    <w:rsid w:val="00915540"/>
    <w:rsid w:val="009233EC"/>
    <w:rsid w:val="00976058"/>
    <w:rsid w:val="009A45EA"/>
    <w:rsid w:val="009B35F3"/>
    <w:rsid w:val="009B703C"/>
    <w:rsid w:val="009C71CA"/>
    <w:rsid w:val="009D3599"/>
    <w:rsid w:val="009D37BF"/>
    <w:rsid w:val="009D7F44"/>
    <w:rsid w:val="009E7497"/>
    <w:rsid w:val="00A92EA0"/>
    <w:rsid w:val="00AC168B"/>
    <w:rsid w:val="00AC2225"/>
    <w:rsid w:val="00AD4F3B"/>
    <w:rsid w:val="00B21C68"/>
    <w:rsid w:val="00B26C1F"/>
    <w:rsid w:val="00B8488E"/>
    <w:rsid w:val="00BB16CE"/>
    <w:rsid w:val="00BD2BEE"/>
    <w:rsid w:val="00C00C92"/>
    <w:rsid w:val="00C60137"/>
    <w:rsid w:val="00C87ACF"/>
    <w:rsid w:val="00CC2B8C"/>
    <w:rsid w:val="00D22BA5"/>
    <w:rsid w:val="00D248A7"/>
    <w:rsid w:val="00D26600"/>
    <w:rsid w:val="00D433C3"/>
    <w:rsid w:val="00D47A8C"/>
    <w:rsid w:val="00D51FEB"/>
    <w:rsid w:val="00D82873"/>
    <w:rsid w:val="00D83C65"/>
    <w:rsid w:val="00DA1F11"/>
    <w:rsid w:val="00DB32BC"/>
    <w:rsid w:val="00DC633C"/>
    <w:rsid w:val="00E007E3"/>
    <w:rsid w:val="00E06A79"/>
    <w:rsid w:val="00E46176"/>
    <w:rsid w:val="00E825EB"/>
    <w:rsid w:val="00EE7F62"/>
    <w:rsid w:val="00F72E65"/>
    <w:rsid w:val="00F82A10"/>
    <w:rsid w:val="00F91E15"/>
    <w:rsid w:val="00FC4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BF6E3"/>
  <w15:chartTrackingRefBased/>
  <w15:docId w15:val="{D65A00DC-992F-4C43-8AC2-4377B846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A48B4"/>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ЭК.ТЕХ"/>
    <w:basedOn w:val="a"/>
    <w:link w:val="a4"/>
    <w:qFormat/>
    <w:rsid w:val="00656AED"/>
    <w:pPr>
      <w:spacing w:after="0" w:line="240" w:lineRule="auto"/>
      <w:jc w:val="center"/>
    </w:pPr>
    <w:rPr>
      <w:rFonts w:ascii="Golos Text" w:hAnsi="Golos Text" w:cs="Golos Text"/>
    </w:rPr>
  </w:style>
  <w:style w:type="character" w:customStyle="1" w:styleId="a4">
    <w:name w:val="НЭК.ТЕХ Знак"/>
    <w:basedOn w:val="a0"/>
    <w:link w:val="a3"/>
    <w:rsid w:val="00656AED"/>
    <w:rPr>
      <w:rFonts w:ascii="Golos Text" w:hAnsi="Golos Text" w:cs="Golos Text"/>
    </w:rPr>
  </w:style>
  <w:style w:type="paragraph" w:styleId="a5">
    <w:name w:val="header"/>
    <w:basedOn w:val="a"/>
    <w:link w:val="a6"/>
    <w:uiPriority w:val="99"/>
    <w:unhideWhenUsed/>
    <w:rsid w:val="008530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30EA"/>
  </w:style>
  <w:style w:type="paragraph" w:styleId="a7">
    <w:name w:val="footer"/>
    <w:basedOn w:val="a"/>
    <w:link w:val="a8"/>
    <w:uiPriority w:val="99"/>
    <w:unhideWhenUsed/>
    <w:rsid w:val="008530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30EA"/>
  </w:style>
  <w:style w:type="character" w:styleId="a9">
    <w:name w:val="Hyperlink"/>
    <w:basedOn w:val="a0"/>
    <w:uiPriority w:val="99"/>
    <w:unhideWhenUsed/>
    <w:rsid w:val="008530EA"/>
    <w:rPr>
      <w:color w:val="0000FF"/>
      <w:u w:val="single"/>
    </w:rPr>
  </w:style>
  <w:style w:type="paragraph" w:styleId="aa">
    <w:name w:val="Body Text Indent"/>
    <w:basedOn w:val="a"/>
    <w:link w:val="ab"/>
    <w:uiPriority w:val="99"/>
    <w:unhideWhenUsed/>
    <w:rsid w:val="008530EA"/>
    <w:pPr>
      <w:ind w:firstLine="567"/>
      <w:jc w:val="both"/>
    </w:pPr>
    <w:rPr>
      <w:rFonts w:ascii="Arial" w:hAnsi="Arial" w:cs="Arial"/>
    </w:rPr>
  </w:style>
  <w:style w:type="character" w:customStyle="1" w:styleId="ab">
    <w:name w:val="Основной текст с отступом Знак"/>
    <w:basedOn w:val="a0"/>
    <w:link w:val="aa"/>
    <w:uiPriority w:val="99"/>
    <w:rsid w:val="008530EA"/>
    <w:rPr>
      <w:rFonts w:ascii="Arial" w:hAnsi="Arial" w:cs="Arial"/>
    </w:rPr>
  </w:style>
  <w:style w:type="table" w:styleId="ac">
    <w:name w:val="Table Grid"/>
    <w:basedOn w:val="a1"/>
    <w:uiPriority w:val="39"/>
    <w:rsid w:val="00853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87A72"/>
    <w:rPr>
      <w:b/>
      <w:bCs/>
    </w:rPr>
  </w:style>
  <w:style w:type="paragraph" w:styleId="2">
    <w:name w:val="Body Text Indent 2"/>
    <w:basedOn w:val="a"/>
    <w:link w:val="20"/>
    <w:uiPriority w:val="99"/>
    <w:unhideWhenUsed/>
    <w:rsid w:val="00887A72"/>
    <w:pPr>
      <w:spacing w:after="0" w:line="240" w:lineRule="auto"/>
      <w:ind w:firstLine="567"/>
    </w:pPr>
    <w:rPr>
      <w:rFonts w:ascii="Arial" w:hAnsi="Arial" w:cs="Arial"/>
      <w:color w:val="000000"/>
      <w:sz w:val="24"/>
      <w:szCs w:val="24"/>
      <w:shd w:val="clear" w:color="auto" w:fill="FFFFFF"/>
    </w:rPr>
  </w:style>
  <w:style w:type="character" w:customStyle="1" w:styleId="20">
    <w:name w:val="Основной текст с отступом 2 Знак"/>
    <w:basedOn w:val="a0"/>
    <w:link w:val="2"/>
    <w:uiPriority w:val="99"/>
    <w:rsid w:val="00887A72"/>
    <w:rPr>
      <w:rFonts w:ascii="Arial" w:hAnsi="Arial" w:cs="Arial"/>
      <w:color w:val="000000"/>
      <w:sz w:val="24"/>
      <w:szCs w:val="24"/>
    </w:rPr>
  </w:style>
  <w:style w:type="paragraph" w:styleId="3">
    <w:name w:val="Body Text Indent 3"/>
    <w:basedOn w:val="a"/>
    <w:link w:val="30"/>
    <w:uiPriority w:val="99"/>
    <w:unhideWhenUsed/>
    <w:rsid w:val="00887A72"/>
    <w:pPr>
      <w:spacing w:after="0" w:line="240" w:lineRule="auto"/>
      <w:ind w:firstLine="567"/>
      <w:jc w:val="both"/>
    </w:pPr>
    <w:rPr>
      <w:rFonts w:ascii="Arial" w:hAnsi="Arial" w:cs="Arial"/>
      <w:color w:val="000000"/>
      <w:shd w:val="clear" w:color="auto" w:fill="FFFFFF"/>
    </w:rPr>
  </w:style>
  <w:style w:type="character" w:customStyle="1" w:styleId="30">
    <w:name w:val="Основной текст с отступом 3 Знак"/>
    <w:basedOn w:val="a0"/>
    <w:link w:val="3"/>
    <w:uiPriority w:val="99"/>
    <w:rsid w:val="00887A72"/>
    <w:rPr>
      <w:rFonts w:ascii="Arial" w:hAnsi="Arial" w:cs="Arial"/>
      <w:color w:val="000000"/>
    </w:rPr>
  </w:style>
  <w:style w:type="paragraph" w:styleId="ae">
    <w:name w:val="Normal (Web)"/>
    <w:basedOn w:val="a"/>
    <w:uiPriority w:val="99"/>
    <w:unhideWhenUsed/>
    <w:rsid w:val="007A7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99"/>
    <w:unhideWhenUsed/>
    <w:rsid w:val="00021F7E"/>
    <w:pPr>
      <w:spacing w:after="120"/>
    </w:pPr>
  </w:style>
  <w:style w:type="character" w:customStyle="1" w:styleId="af0">
    <w:name w:val="Основной текст Знак"/>
    <w:basedOn w:val="a0"/>
    <w:link w:val="af"/>
    <w:uiPriority w:val="99"/>
    <w:rsid w:val="00021F7E"/>
  </w:style>
  <w:style w:type="paragraph" w:styleId="21">
    <w:name w:val="Body Text 2"/>
    <w:basedOn w:val="a"/>
    <w:link w:val="22"/>
    <w:uiPriority w:val="99"/>
    <w:unhideWhenUsed/>
    <w:rsid w:val="001B3999"/>
    <w:rPr>
      <w:rFonts w:ascii="Arial" w:hAnsi="Arial" w:cs="Arial"/>
      <w:sz w:val="24"/>
      <w:szCs w:val="24"/>
    </w:rPr>
  </w:style>
  <w:style w:type="character" w:customStyle="1" w:styleId="22">
    <w:name w:val="Основной текст 2 Знак"/>
    <w:basedOn w:val="a0"/>
    <w:link w:val="21"/>
    <w:uiPriority w:val="99"/>
    <w:rsid w:val="001B3999"/>
    <w:rPr>
      <w:rFonts w:ascii="Arial" w:hAnsi="Arial" w:cs="Arial"/>
      <w:sz w:val="24"/>
      <w:szCs w:val="24"/>
    </w:rPr>
  </w:style>
  <w:style w:type="character" w:customStyle="1" w:styleId="10">
    <w:name w:val="Заголовок 1 Знак"/>
    <w:basedOn w:val="a0"/>
    <w:link w:val="1"/>
    <w:uiPriority w:val="9"/>
    <w:rsid w:val="001A48B4"/>
    <w:rPr>
      <w:b/>
    </w:rPr>
  </w:style>
  <w:style w:type="character" w:styleId="af1">
    <w:name w:val="Unresolved Mention"/>
    <w:basedOn w:val="a0"/>
    <w:uiPriority w:val="99"/>
    <w:semiHidden/>
    <w:unhideWhenUsed/>
    <w:rsid w:val="00900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84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ec.pro" TargetMode="External"/><Relationship Id="rId1" Type="http://schemas.openxmlformats.org/officeDocument/2006/relationships/hyperlink" Target="https://nectech.pr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nectech.pro/"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Лещинская Людмила Вячеславовна</dc:creator>
  <cp:keywords/>
  <dc:description/>
  <cp:lastModifiedBy>Лещинская Людмила Вячеславовна</cp:lastModifiedBy>
  <cp:revision>2</cp:revision>
  <dcterms:created xsi:type="dcterms:W3CDTF">2025-11-07T08:06:00Z</dcterms:created>
  <dcterms:modified xsi:type="dcterms:W3CDTF">2025-11-07T08:06:00Z</dcterms:modified>
</cp:coreProperties>
</file>