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5EFB3D29" w14:textId="77777777" w:rsidR="00BB75C4" w:rsidRDefault="005A1E68">
      <w:pPr>
        <w:spacing w:before="240" w:after="240"/>
        <w:jc w:val="right"/>
        <w:rPr>
          <w:b/>
          <w:bCs/>
          <w:sz w:val="28"/>
          <w:szCs w:val="28"/>
        </w:rPr>
      </w:pPr>
      <w:r>
        <w:rPr>
          <w:noProof/>
        </w:rPr>
        <w:drawing>
          <wp:inline distT="114300" distB="114300" distL="114300" distR="114300" wp14:anchorId="5BB40241" wp14:editId="23C754C0">
            <wp:extent cx="2733675" cy="75723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757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</w:t>
      </w:r>
    </w:p>
    <w:p w14:paraId="6766464D" w14:textId="77777777" w:rsidR="00BB75C4" w:rsidRDefault="00BB75C4">
      <w:pPr>
        <w:spacing w:before="240" w:after="240"/>
        <w:jc w:val="center"/>
        <w:rPr>
          <w:b/>
          <w:bCs/>
          <w:sz w:val="28"/>
          <w:szCs w:val="28"/>
        </w:rPr>
      </w:pPr>
    </w:p>
    <w:p w14:paraId="59A3F434" w14:textId="77777777" w:rsidR="00BB75C4" w:rsidRDefault="005A1E68">
      <w:pPr>
        <w:spacing w:before="240"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ПАО «Европейская Электротехника» представляет промежуточные сокращенные консолидированные результаты</w:t>
      </w:r>
    </w:p>
    <w:p w14:paraId="01DC4EE1" w14:textId="77777777" w:rsidR="00BB75C4" w:rsidRDefault="005A1E68">
      <w:pPr>
        <w:spacing w:before="240" w:after="24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за 9 месяцев 2025 года</w:t>
      </w:r>
    </w:p>
    <w:p w14:paraId="7BCAB4FF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10B1B20" wp14:editId="121C5825">
            <wp:extent cx="5943600" cy="33401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8EA1BD" w14:textId="77777777" w:rsidR="00BB75C4" w:rsidRDefault="005A1E68">
      <w:pPr>
        <w:spacing w:before="240" w:after="180" w:line="386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Компания завершила процесс корректировок отчетности по МСФО, начатый в 2024 году, связанный с внедрением расчета выручки по договорам с длительным циклом производства согласно стандарту МСФО (IFRS) 15 «Выручка по договорам с покупателями». В результате дан</w:t>
      </w:r>
      <w:r>
        <w:rPr>
          <w:sz w:val="24"/>
          <w:szCs w:val="24"/>
        </w:rPr>
        <w:t xml:space="preserve">ных корректировок был проведен ретроспективный пересчет сравнительных показателей за 2023 год (отражен в опубликованной отчетности за 12 месяцев 2024 года), за 6 месяцев 2024 года (отражен в опубликованной отчетности за 6 месяцев 2025 года) и за 9 месяцев </w:t>
      </w:r>
      <w:r>
        <w:rPr>
          <w:sz w:val="24"/>
          <w:szCs w:val="24"/>
        </w:rPr>
        <w:t xml:space="preserve">2024 года (отражен в опубликованной отчетности за 9 месяцев 2025 года). Важно </w:t>
      </w:r>
      <w:r>
        <w:rPr>
          <w:sz w:val="24"/>
          <w:szCs w:val="24"/>
        </w:rPr>
        <w:lastRenderedPageBreak/>
        <w:t>отметить, что изменения затронули отчетность только указанных периодов и не оказали влияния на годовую отчетность за 2024 год, текущую финансовую отчетность за 2025 год. Эти изме</w:t>
      </w:r>
      <w:r>
        <w:rPr>
          <w:sz w:val="24"/>
          <w:szCs w:val="24"/>
        </w:rPr>
        <w:t>нения не затронут будущие финансовые показатели Компании.</w:t>
      </w:r>
    </w:p>
    <w:p w14:paraId="3CDF86E2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64660EB" w14:textId="77777777" w:rsidR="00BB75C4" w:rsidRDefault="005A1E68">
      <w:pPr>
        <w:spacing w:before="240" w:after="240"/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Ключевые показатели Группы компаний (9м25/9м24):</w:t>
      </w:r>
    </w:p>
    <w:p w14:paraId="350108E3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bCs/>
          <w:sz w:val="24"/>
          <w:szCs w:val="24"/>
        </w:rPr>
        <w:t>Выручка</w:t>
      </w:r>
      <w:r>
        <w:rPr>
          <w:sz w:val="24"/>
          <w:szCs w:val="24"/>
        </w:rPr>
        <w:t xml:space="preserve"> составила 5 717 922 тыс. руб. и показала рост на 23,1%. Основным географическим регионом деятельности группы является Российская Федерац</w:t>
      </w:r>
      <w:r>
        <w:rPr>
          <w:sz w:val="24"/>
          <w:szCs w:val="24"/>
        </w:rPr>
        <w:t>ия. В Российской Федерации за девять месяцев, закончившихся 30 сентября 2025 г. и 30 сентября 2024 г. получено более 99% выручки Группы. Основной вклад в результат внесли продажи по направлению “Электрооборудование” на 4 431 005 тыс. руб. (+94,3%) и “Лифто</w:t>
      </w:r>
      <w:r>
        <w:rPr>
          <w:sz w:val="24"/>
          <w:szCs w:val="24"/>
        </w:rPr>
        <w:t>вое оборудование” на 115 992 тыс. руб. (+91,8%). Сокращение продаж по направлению “Нефтегазовое и химическое оборудование” до 1 165 813 тыс. руб. (-47,4%) обусловлено смещением графика отгрузок, в связи с пересмотром сроков инвестиционных программ у заказч</w:t>
      </w:r>
      <w:r>
        <w:rPr>
          <w:sz w:val="24"/>
          <w:szCs w:val="24"/>
        </w:rPr>
        <w:t>ика.</w:t>
      </w:r>
    </w:p>
    <w:p w14:paraId="03BECD6D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. Крупные объёмы отгрузок по данному направлению запланированы в следующих кварталах;</w:t>
      </w:r>
    </w:p>
    <w:p w14:paraId="49DB83B9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bCs/>
          <w:sz w:val="24"/>
          <w:szCs w:val="24"/>
        </w:rPr>
        <w:t>Себестоимость</w:t>
      </w:r>
      <w:r>
        <w:rPr>
          <w:sz w:val="24"/>
          <w:szCs w:val="24"/>
        </w:rPr>
        <w:t xml:space="preserve"> продаж выросла на 23,6% и составила 4 363 089 тыс. руб. Основная статья расходов на материалы и комплектующие, использованные в производстве, увели</w:t>
      </w:r>
      <w:r>
        <w:rPr>
          <w:sz w:val="24"/>
          <w:szCs w:val="24"/>
        </w:rPr>
        <w:t>чилась до 3 816 320 тыс. руб. (+26,4%). Второстепенные статьи расходов на услуги, включая затраты на субподрядчиков - 138 601 тыс. руб. (+40,3%), амортизация активов - 49 766 тыс. руб. (+2,6%), изменение запасов готовой продукции и незавершенного производс</w:t>
      </w:r>
      <w:r>
        <w:rPr>
          <w:sz w:val="24"/>
          <w:szCs w:val="24"/>
        </w:rPr>
        <w:t>тва - 78 139 тыс. руб. (-61,1%).</w:t>
      </w:r>
    </w:p>
    <w:p w14:paraId="055921BC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bCs/>
          <w:sz w:val="24"/>
          <w:szCs w:val="24"/>
        </w:rPr>
        <w:t xml:space="preserve">Расходы на персонал </w:t>
      </w:r>
      <w:r>
        <w:rPr>
          <w:sz w:val="24"/>
          <w:szCs w:val="24"/>
        </w:rPr>
        <w:t>Компании возросли до 196 363 тыс. руб. (+85,7%), в связи с созданием новых подразделений:</w:t>
      </w:r>
    </w:p>
    <w:p w14:paraId="476FCE63" w14:textId="77777777" w:rsidR="00BB75C4" w:rsidRDefault="005A1E68">
      <w:pPr>
        <w:spacing w:before="240" w:after="240"/>
        <w:ind w:left="1440" w:hanging="360"/>
        <w:jc w:val="both"/>
        <w:rPr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в рамках направления «Инженерные системы»: «Энергетическое оборудование», ЦФО, новый инжиниринговый центр в</w:t>
      </w:r>
      <w:r>
        <w:rPr>
          <w:sz w:val="24"/>
          <w:szCs w:val="24"/>
        </w:rPr>
        <w:t xml:space="preserve"> г. Волгоград</w:t>
      </w:r>
    </w:p>
    <w:p w14:paraId="274D826F" w14:textId="77777777" w:rsidR="00BB75C4" w:rsidRDefault="005A1E68">
      <w:pPr>
        <w:spacing w:before="240" w:after="240"/>
        <w:ind w:left="1440" w:hanging="360"/>
        <w:jc w:val="both"/>
        <w:rPr>
          <w:sz w:val="24"/>
          <w:szCs w:val="24"/>
        </w:rPr>
      </w:pPr>
      <w:r>
        <w:rPr>
          <w:rFonts w:ascii="Courier New" w:eastAsia="Courier New" w:hAnsi="Courier New" w:cs="Courier New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</w:t>
      </w:r>
      <w:r>
        <w:rPr>
          <w:sz w:val="24"/>
          <w:szCs w:val="24"/>
        </w:rPr>
        <w:t>в рамках направления «Технологические системы»: «Разработка газового оборудования»</w:t>
      </w:r>
    </w:p>
    <w:p w14:paraId="6391A753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а также в связи с привлечением нового производственного персонала, на фоне увеличения объемов производства по направлению «Технологические системы»;</w:t>
      </w:r>
    </w:p>
    <w:p w14:paraId="65CD1489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>
        <w:rPr>
          <w:b/>
          <w:bCs/>
          <w:sz w:val="24"/>
          <w:szCs w:val="24"/>
        </w:rPr>
        <w:t>Опер</w:t>
      </w:r>
      <w:r>
        <w:rPr>
          <w:b/>
          <w:bCs/>
          <w:sz w:val="24"/>
          <w:szCs w:val="24"/>
        </w:rPr>
        <w:t>ационная прибыль</w:t>
      </w:r>
      <w:r>
        <w:rPr>
          <w:sz w:val="24"/>
          <w:szCs w:val="24"/>
        </w:rPr>
        <w:t xml:space="preserve"> составила 746 557 тыс. руб. (+22,6%). Положительный результат обусловлен сдерживанием коммерческих расходов (+2,2% всего) и ростом прочих операционных доходов (+166,3%). Рост административных расходов (+36,5%) темпами выше темпов роста выр</w:t>
      </w:r>
      <w:r>
        <w:rPr>
          <w:sz w:val="24"/>
          <w:szCs w:val="24"/>
        </w:rPr>
        <w:t>учки обусловлен увеличением расходов на персонал (причины роста описаны выше);</w:t>
      </w:r>
    </w:p>
    <w:p w14:paraId="0799AF81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bCs/>
          <w:sz w:val="24"/>
          <w:szCs w:val="24"/>
        </w:rPr>
        <w:t>Финансовые расходы</w:t>
      </w:r>
      <w:r>
        <w:rPr>
          <w:sz w:val="24"/>
          <w:szCs w:val="24"/>
        </w:rPr>
        <w:t xml:space="preserve"> Компании возросли до 211 849 тыс. руб. (+56,5%) в связи с более активным использованием банковских кредитов (рост суммы кредитов на +27,9% к уровню начала 2</w:t>
      </w:r>
      <w:r>
        <w:rPr>
          <w:sz w:val="24"/>
          <w:szCs w:val="24"/>
        </w:rPr>
        <w:t>025 года), на фоне роста масштабов деятельности Компании и размеров осуществляемых ею проектов.</w:t>
      </w:r>
    </w:p>
    <w:p w14:paraId="2DEE9246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bCs/>
          <w:sz w:val="24"/>
          <w:szCs w:val="24"/>
        </w:rPr>
        <w:t>Чистая прибыль</w:t>
      </w:r>
      <w:r>
        <w:rPr>
          <w:sz w:val="24"/>
          <w:szCs w:val="24"/>
        </w:rPr>
        <w:t>, приходящаяся на акционеров,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составила 476 045 тыс. руб. (+53,6%). Результат обусловлен эффективным управлением финансами и оптимизацией затрат</w:t>
      </w:r>
      <w:r>
        <w:rPr>
          <w:sz w:val="24"/>
          <w:szCs w:val="24"/>
        </w:rPr>
        <w:t>;</w:t>
      </w:r>
    </w:p>
    <w:p w14:paraId="346E59ED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bCs/>
          <w:sz w:val="24"/>
          <w:szCs w:val="24"/>
        </w:rPr>
        <w:t>Прибыль на акцию</w:t>
      </w:r>
      <w:r>
        <w:rPr>
          <w:sz w:val="24"/>
          <w:szCs w:val="24"/>
        </w:rPr>
        <w:t xml:space="preserve"> составила 0,86 руб. (+53,6%). Результат обусловлен ростом чистой прибыли в отчетном периоде;</w:t>
      </w:r>
    </w:p>
    <w:p w14:paraId="087CB26A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Приведенный показатель </w:t>
      </w:r>
      <w:r>
        <w:rPr>
          <w:b/>
          <w:bCs/>
          <w:sz w:val="24"/>
          <w:szCs w:val="24"/>
        </w:rPr>
        <w:t>EBITDA</w:t>
      </w:r>
      <w:r>
        <w:rPr>
          <w:sz w:val="24"/>
          <w:szCs w:val="24"/>
        </w:rPr>
        <w:t xml:space="preserve"> составил 859 185 тыс. руб. (+24,6%). Пересмотренный показатель EBITDA за 9м2024 года, в связи с переходом на новую форму учета по договорам длительного цикла изготовления оборудования, составил 689 499 тыс. руб.;</w:t>
      </w:r>
    </w:p>
    <w:p w14:paraId="32D553C4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bCs/>
          <w:sz w:val="24"/>
          <w:szCs w:val="24"/>
        </w:rPr>
        <w:t>ROE</w:t>
      </w:r>
      <w:r>
        <w:rPr>
          <w:sz w:val="16"/>
          <w:szCs w:val="16"/>
        </w:rPr>
        <w:t xml:space="preserve"> </w:t>
      </w:r>
      <w:r>
        <w:rPr>
          <w:sz w:val="24"/>
          <w:szCs w:val="24"/>
        </w:rPr>
        <w:t>(рентабельность собственного капитал</w:t>
      </w:r>
      <w:r>
        <w:rPr>
          <w:sz w:val="24"/>
          <w:szCs w:val="24"/>
        </w:rPr>
        <w:t xml:space="preserve">а) составила 22,2% (18,2% по итогам 9м 2024г). Увеличение значения рентабельности обусловлено повышением отгрузок </w:t>
      </w:r>
      <w:proofErr w:type="spellStart"/>
      <w:r>
        <w:rPr>
          <w:sz w:val="24"/>
          <w:szCs w:val="24"/>
        </w:rPr>
        <w:t>высокомаржинального</w:t>
      </w:r>
      <w:proofErr w:type="spellEnd"/>
      <w:r>
        <w:rPr>
          <w:sz w:val="24"/>
          <w:szCs w:val="24"/>
        </w:rPr>
        <w:t xml:space="preserve"> оборудования и ростом величины чистой прибыли более высокими темпами по сравнению с темпом прироста капитала Компании (+53</w:t>
      </w:r>
      <w:r>
        <w:rPr>
          <w:sz w:val="24"/>
          <w:szCs w:val="24"/>
        </w:rPr>
        <w:t>,6% против +12,5%).</w:t>
      </w:r>
    </w:p>
    <w:p w14:paraId="3CFB5614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12208DF" w14:textId="77777777" w:rsidR="00BB75C4" w:rsidRDefault="005A1E68">
      <w:pPr>
        <w:spacing w:before="240" w:after="24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Дополнительная информация за отчетный период (9м25/9м24):</w:t>
      </w:r>
    </w:p>
    <w:p w14:paraId="61BB110D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bCs/>
          <w:sz w:val="24"/>
          <w:szCs w:val="24"/>
        </w:rPr>
        <w:t xml:space="preserve">Активы </w:t>
      </w:r>
      <w:r>
        <w:rPr>
          <w:sz w:val="24"/>
          <w:szCs w:val="24"/>
        </w:rPr>
        <w:t>увеличились на 32,7% и составили 7 854 136 тыс. руб.;</w:t>
      </w:r>
    </w:p>
    <w:p w14:paraId="608A08D8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bCs/>
          <w:sz w:val="24"/>
          <w:szCs w:val="24"/>
        </w:rPr>
        <w:t>Собственный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капитал</w:t>
      </w:r>
      <w:r>
        <w:rPr>
          <w:sz w:val="24"/>
          <w:szCs w:val="24"/>
        </w:rPr>
        <w:t xml:space="preserve"> увеличился на 12,5% и составил 3 026 820 тыс. руб.;</w:t>
      </w:r>
    </w:p>
    <w:p w14:paraId="2A82409A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bCs/>
          <w:sz w:val="24"/>
          <w:szCs w:val="24"/>
        </w:rPr>
        <w:t>Денежные средства и их эквиваленты</w:t>
      </w:r>
      <w:r>
        <w:rPr>
          <w:sz w:val="24"/>
          <w:szCs w:val="24"/>
        </w:rPr>
        <w:t xml:space="preserve"> на счетах выросли на 231,7% и составили 646 025 тыс. руб.;</w:t>
      </w:r>
    </w:p>
    <w:p w14:paraId="61F530A1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bCs/>
          <w:sz w:val="24"/>
          <w:szCs w:val="24"/>
        </w:rPr>
        <w:t>Запасы</w:t>
      </w:r>
      <w:r>
        <w:rPr>
          <w:sz w:val="24"/>
          <w:szCs w:val="24"/>
        </w:rPr>
        <w:t xml:space="preserve"> выросли на 25,6% и составили 1 757 028 тыс. руб. Основной вклад внесли сырьё и материалы 477 332 т</w:t>
      </w:r>
      <w:r>
        <w:rPr>
          <w:sz w:val="24"/>
          <w:szCs w:val="24"/>
        </w:rPr>
        <w:t xml:space="preserve">ыс. руб. (+142,4%), которые закуплены под исполнение </w:t>
      </w:r>
      <w:r>
        <w:rPr>
          <w:sz w:val="24"/>
          <w:szCs w:val="24"/>
        </w:rPr>
        <w:lastRenderedPageBreak/>
        <w:t>крупных контрактов и незавершенное производство 716 562 тыс. руб. (+30,2%), основной объем по которому будет реализован в следующих кварталах;</w:t>
      </w:r>
    </w:p>
    <w:p w14:paraId="165784C8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>
        <w:rPr>
          <w:b/>
          <w:bCs/>
          <w:sz w:val="24"/>
          <w:szCs w:val="24"/>
        </w:rPr>
        <w:t>Количество акционеров</w:t>
      </w:r>
      <w:r>
        <w:rPr>
          <w:sz w:val="24"/>
          <w:szCs w:val="24"/>
        </w:rPr>
        <w:t xml:space="preserve"> ПАО (зарегистрированных лиц в реестр</w:t>
      </w:r>
      <w:r>
        <w:rPr>
          <w:sz w:val="24"/>
          <w:szCs w:val="24"/>
        </w:rPr>
        <w:t>е) составило по состоянию на 30.09.2025</w:t>
      </w:r>
      <w:r>
        <w:rPr>
          <w:color w:val="232438"/>
          <w:sz w:val="24"/>
          <w:szCs w:val="24"/>
          <w:highlight w:val="white"/>
        </w:rPr>
        <w:t xml:space="preserve"> – </w:t>
      </w:r>
      <w:r>
        <w:rPr>
          <w:sz w:val="24"/>
          <w:szCs w:val="24"/>
        </w:rPr>
        <w:t>11788</w:t>
      </w:r>
      <w:r>
        <w:rPr>
          <w:color w:val="232438"/>
          <w:sz w:val="24"/>
          <w:szCs w:val="24"/>
          <w:highlight w:val="white"/>
        </w:rPr>
        <w:t xml:space="preserve"> лиц.</w:t>
      </w:r>
      <w:r>
        <w:rPr>
          <w:sz w:val="24"/>
          <w:szCs w:val="24"/>
        </w:rPr>
        <w:t xml:space="preserve"> Мы внимательно следим за количеством частных инвесторов, владеющих акциями «Европейской Электротехники» (тикер EELT). За этим показателем для нас кроется много информации - насколько известна наша компан</w:t>
      </w:r>
      <w:r>
        <w:rPr>
          <w:sz w:val="24"/>
          <w:szCs w:val="24"/>
        </w:rPr>
        <w:t>ия на фондовом рынке, понятна ли наша бизнес-модель розничным инвесторам, удовлетворён ли рынок открытостью и финансовыми результатами Группы.</w:t>
      </w:r>
    </w:p>
    <w:p w14:paraId="368D9C89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1BB103A" w14:textId="77777777" w:rsidR="00BB75C4" w:rsidRDefault="005A1E68">
      <w:pPr>
        <w:spacing w:before="240" w:after="24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Ссылка на финансовую отчетность</w:t>
      </w:r>
      <w:r>
        <w:rPr>
          <w:sz w:val="24"/>
          <w:szCs w:val="24"/>
        </w:rPr>
        <w:t>:</w:t>
      </w:r>
      <w:r>
        <w:rPr>
          <w:sz w:val="24"/>
          <w:szCs w:val="24"/>
          <w:u w:val="single"/>
        </w:rPr>
        <w:t xml:space="preserve"> https://www.e-disclosure.ru/portal/files.aspx?id=36330&amp;type=4</w:t>
      </w:r>
    </w:p>
    <w:p w14:paraId="306A86D2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1C2E29C" w14:textId="77777777" w:rsidR="00BB75C4" w:rsidRDefault="005A1E68">
      <w:pPr>
        <w:spacing w:before="240" w:after="240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Ключевые новос</w:t>
      </w:r>
      <w:r>
        <w:rPr>
          <w:sz w:val="24"/>
          <w:szCs w:val="24"/>
          <w:u w:val="single"/>
        </w:rPr>
        <w:t>ти и события ПАО «Европейская Электротехника» за отчётный квартал и после отчётной даты:</w:t>
      </w:r>
    </w:p>
    <w:p w14:paraId="2C7C369E" w14:textId="77777777" w:rsidR="00BB75C4" w:rsidRDefault="005A1E68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Инженерные системы</w:t>
      </w:r>
    </w:p>
    <w:p w14:paraId="34480ADE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►</w:t>
      </w:r>
      <w:r>
        <w:rPr>
          <w:sz w:val="24"/>
          <w:szCs w:val="24"/>
        </w:rPr>
        <w:t xml:space="preserve"> Газпромнефть (п-в Ямал, </w:t>
      </w:r>
      <w:proofErr w:type="spellStart"/>
      <w:r>
        <w:rPr>
          <w:sz w:val="24"/>
          <w:szCs w:val="24"/>
        </w:rPr>
        <w:t>Боваленковское</w:t>
      </w:r>
      <w:proofErr w:type="spellEnd"/>
      <w:r>
        <w:rPr>
          <w:sz w:val="24"/>
          <w:szCs w:val="24"/>
        </w:rPr>
        <w:t xml:space="preserve"> месторождение) — Продолжаем бесперебойные поставки кабельных лотков и </w:t>
      </w:r>
      <w:proofErr w:type="spellStart"/>
      <w:r>
        <w:rPr>
          <w:sz w:val="24"/>
          <w:szCs w:val="24"/>
        </w:rPr>
        <w:t>кабеленесущих</w:t>
      </w:r>
      <w:proofErr w:type="spellEnd"/>
      <w:r>
        <w:rPr>
          <w:sz w:val="24"/>
          <w:szCs w:val="24"/>
        </w:rPr>
        <w:t xml:space="preserve"> систем на опорное место</w:t>
      </w:r>
      <w:r>
        <w:rPr>
          <w:sz w:val="24"/>
          <w:szCs w:val="24"/>
        </w:rPr>
        <w:t xml:space="preserve">рождение Ямальского центра газодобычи, расположенной на полуострове Ямал и </w:t>
      </w:r>
      <w:proofErr w:type="spellStart"/>
      <w:r>
        <w:rPr>
          <w:sz w:val="24"/>
          <w:szCs w:val="24"/>
        </w:rPr>
        <w:t>приямальском</w:t>
      </w:r>
      <w:proofErr w:type="spellEnd"/>
      <w:r>
        <w:rPr>
          <w:sz w:val="24"/>
          <w:szCs w:val="24"/>
        </w:rPr>
        <w:t xml:space="preserve"> шельфе Карского моря. Этот проект является не только одним из самых крупных, но также самым удаленным от центральной России. Поставки по проекту осуществляются в течени</w:t>
      </w:r>
      <w:r>
        <w:rPr>
          <w:sz w:val="24"/>
          <w:szCs w:val="24"/>
        </w:rPr>
        <w:t>е более чем пяти лет.</w:t>
      </w:r>
    </w:p>
    <w:p w14:paraId="4AD5AB5B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►</w:t>
      </w:r>
      <w:r>
        <w:rPr>
          <w:sz w:val="24"/>
          <w:szCs w:val="24"/>
        </w:rPr>
        <w:t xml:space="preserve"> НКЦ им. Хруничева (Роскосмос, Москва) — Для одной из </w:t>
      </w:r>
      <w:proofErr w:type="spellStart"/>
      <w:r>
        <w:rPr>
          <w:sz w:val="24"/>
          <w:szCs w:val="24"/>
        </w:rPr>
        <w:t>отраслеобразующих</w:t>
      </w:r>
      <w:proofErr w:type="spellEnd"/>
      <w:r>
        <w:rPr>
          <w:sz w:val="24"/>
          <w:szCs w:val="24"/>
        </w:rPr>
        <w:t xml:space="preserve"> организаций ракетно-космической отрасли осуществляем поставки щитовой продукции для систем распределения электроснабжения, автоматизации технологических процессо</w:t>
      </w:r>
      <w:r>
        <w:rPr>
          <w:sz w:val="24"/>
          <w:szCs w:val="24"/>
        </w:rPr>
        <w:t>в и передачи данных. Проект интересен так же тем, что поставляемое оборудование будет задействовано в решении задач по автоматизации процессов жизнеобеспечения высотного здания головного офиса заказчика.</w:t>
      </w:r>
    </w:p>
    <w:p w14:paraId="021BB18E" w14:textId="77777777" w:rsidR="00BB75C4" w:rsidRDefault="005A1E68">
      <w:pPr>
        <w:spacing w:before="240" w:after="24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►</w:t>
      </w:r>
      <w:r>
        <w:rPr>
          <w:sz w:val="24"/>
          <w:szCs w:val="24"/>
          <w:highlight w:val="white"/>
        </w:rPr>
        <w:t xml:space="preserve"> ноябрь — Проведена</w:t>
      </w:r>
      <w:hyperlink r:id="rId6">
        <w:r>
          <w:rPr>
            <w:color w:val="1155CC"/>
            <w:sz w:val="24"/>
            <w:szCs w:val="24"/>
            <w:highlight w:val="white"/>
          </w:rPr>
          <w:t xml:space="preserve"> </w:t>
        </w:r>
      </w:hyperlink>
      <w:hyperlink r:id="rId7">
        <w:r>
          <w:rPr>
            <w:color w:val="1155CC"/>
            <w:sz w:val="24"/>
            <w:szCs w:val="24"/>
            <w:highlight w:val="white"/>
            <w:u w:val="single"/>
          </w:rPr>
          <w:t>стратегическая встреча</w:t>
        </w:r>
      </w:hyperlink>
      <w:r>
        <w:rPr>
          <w:sz w:val="24"/>
          <w:szCs w:val="24"/>
          <w:highlight w:val="white"/>
        </w:rPr>
        <w:t xml:space="preserve"> с компанией-партнером DKC. Цель - углубление долгосрочных и продуктивных взаимоотношений для увеличения доли участия «Европейской Электротехники» в новых перспективных проектах за счет предложения комплексных решений на основе оборудования DKC.</w:t>
      </w:r>
    </w:p>
    <w:p w14:paraId="7B7752D9" w14:textId="77777777" w:rsidR="00BB75C4" w:rsidRDefault="005A1E68">
      <w:pPr>
        <w:spacing w:before="240" w:after="24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>►</w:t>
      </w:r>
      <w:r>
        <w:rPr>
          <w:sz w:val="24"/>
          <w:szCs w:val="24"/>
          <w:highlight w:val="white"/>
        </w:rPr>
        <w:t xml:space="preserve"> ноябрь —</w:t>
      </w:r>
      <w:r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</w:rPr>
        <w:t>Штаб-квартира ПАО «Европейская Электротехника»</w:t>
      </w:r>
      <w:r>
        <w:rPr>
          <w:sz w:val="24"/>
          <w:szCs w:val="24"/>
          <w:highlight w:val="white"/>
        </w:rPr>
        <w:t xml:space="preserve"> теперь располагается</w:t>
      </w:r>
      <w:hyperlink r:id="rId8">
        <w:r>
          <w:rPr>
            <w:color w:val="1155CC"/>
            <w:sz w:val="24"/>
            <w:szCs w:val="24"/>
            <w:highlight w:val="white"/>
          </w:rPr>
          <w:t xml:space="preserve"> </w:t>
        </w:r>
      </w:hyperlink>
      <w:hyperlink r:id="rId9">
        <w:r>
          <w:rPr>
            <w:color w:val="1155CC"/>
            <w:sz w:val="24"/>
            <w:szCs w:val="24"/>
            <w:u w:val="single"/>
          </w:rPr>
          <w:t>в новом офисе</w:t>
        </w:r>
      </w:hyperlink>
      <w:r>
        <w:rPr>
          <w:sz w:val="24"/>
          <w:szCs w:val="24"/>
          <w:highlight w:val="white"/>
        </w:rPr>
        <w:t xml:space="preserve"> на Северо-Востоке Москвы.</w:t>
      </w:r>
    </w:p>
    <w:p w14:paraId="2BB24CDE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►</w:t>
      </w:r>
      <w:r>
        <w:rPr>
          <w:sz w:val="24"/>
          <w:szCs w:val="24"/>
          <w:highlight w:val="white"/>
        </w:rPr>
        <w:t xml:space="preserve"> октябрь —</w:t>
      </w:r>
      <w:hyperlink r:id="rId10">
        <w:r>
          <w:rPr>
            <w:color w:val="1155CC"/>
            <w:sz w:val="24"/>
            <w:szCs w:val="24"/>
            <w:highlight w:val="white"/>
          </w:rPr>
          <w:t xml:space="preserve"> </w:t>
        </w:r>
      </w:hyperlink>
      <w:hyperlink r:id="rId11">
        <w:r>
          <w:rPr>
            <w:color w:val="1155CC"/>
            <w:sz w:val="24"/>
            <w:szCs w:val="24"/>
            <w:highlight w:val="white"/>
            <w:u w:val="single"/>
          </w:rPr>
          <w:t>Обзор экспозиции</w:t>
        </w:r>
      </w:hyperlink>
      <w:r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</w:rPr>
        <w:t xml:space="preserve">ПАО «Европейская электротехника» на ПМГФ-2025: Мощные </w:t>
      </w:r>
      <w:proofErr w:type="spellStart"/>
      <w:r>
        <w:rPr>
          <w:sz w:val="24"/>
          <w:szCs w:val="24"/>
        </w:rPr>
        <w:t>газопоршневые</w:t>
      </w:r>
      <w:proofErr w:type="spellEnd"/>
      <w:r>
        <w:rPr>
          <w:sz w:val="24"/>
          <w:szCs w:val="24"/>
        </w:rPr>
        <w:t xml:space="preserve"> генераторные установки и «умная» комплексная система щитового оборудования.</w:t>
      </w:r>
    </w:p>
    <w:p w14:paraId="723B98C4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►</w:t>
      </w:r>
      <w:r>
        <w:rPr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>октябрь —</w:t>
      </w:r>
      <w:hyperlink r:id="rId12">
        <w:r>
          <w:rPr>
            <w:color w:val="1155CC"/>
            <w:sz w:val="24"/>
            <w:szCs w:val="24"/>
            <w:highlight w:val="white"/>
          </w:rPr>
          <w:t xml:space="preserve"> </w:t>
        </w:r>
      </w:hyperlink>
      <w:hyperlink r:id="rId13">
        <w:r>
          <w:rPr>
            <w:color w:val="1155CC"/>
            <w:sz w:val="24"/>
            <w:szCs w:val="24"/>
            <w:u w:val="single"/>
          </w:rPr>
          <w:t>Эффективное технологичное решение</w:t>
        </w:r>
      </w:hyperlink>
      <w:r>
        <w:rPr>
          <w:sz w:val="24"/>
          <w:szCs w:val="24"/>
        </w:rPr>
        <w:t xml:space="preserve"> в области электротехники и автоматизации представлено компанией ПАО «Европейская Электротехника».</w:t>
      </w:r>
    </w:p>
    <w:p w14:paraId="73609947" w14:textId="77777777" w:rsidR="00BB75C4" w:rsidRDefault="005A1E68">
      <w:pPr>
        <w:spacing w:before="240" w:after="24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►</w:t>
      </w:r>
      <w:r>
        <w:rPr>
          <w:sz w:val="24"/>
          <w:szCs w:val="24"/>
          <w:highlight w:val="white"/>
        </w:rPr>
        <w:t xml:space="preserve"> октябрь — Представлено</w:t>
      </w:r>
      <w:hyperlink r:id="rId14">
        <w:r>
          <w:rPr>
            <w:color w:val="1155CC"/>
            <w:sz w:val="24"/>
            <w:szCs w:val="24"/>
            <w:highlight w:val="white"/>
          </w:rPr>
          <w:t xml:space="preserve"> </w:t>
        </w:r>
      </w:hyperlink>
      <w:hyperlink r:id="rId15">
        <w:r>
          <w:rPr>
            <w:color w:val="1155CC"/>
            <w:sz w:val="24"/>
            <w:szCs w:val="24"/>
            <w:highlight w:val="white"/>
            <w:u w:val="single"/>
          </w:rPr>
          <w:t>комплексное решение для майнинга на природном газе</w:t>
        </w:r>
      </w:hyperlink>
      <w:r>
        <w:rPr>
          <w:sz w:val="24"/>
          <w:szCs w:val="24"/>
          <w:highlight w:val="white"/>
        </w:rPr>
        <w:t>.</w:t>
      </w:r>
    </w:p>
    <w:p w14:paraId="5BE51F38" w14:textId="77777777" w:rsidR="00BB75C4" w:rsidRDefault="005A1E68">
      <w:pPr>
        <w:spacing w:before="240" w:after="24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►</w:t>
      </w:r>
      <w:r>
        <w:rPr>
          <w:sz w:val="24"/>
          <w:szCs w:val="24"/>
          <w:highlight w:val="white"/>
        </w:rPr>
        <w:t xml:space="preserve"> октябрь — В крупнейшем ТЦ Московской области</w:t>
      </w:r>
      <w:hyperlink r:id="rId16">
        <w:r>
          <w:rPr>
            <w:color w:val="1155CC"/>
            <w:sz w:val="24"/>
            <w:szCs w:val="24"/>
            <w:highlight w:val="white"/>
          </w:rPr>
          <w:t xml:space="preserve"> </w:t>
        </w:r>
      </w:hyperlink>
      <w:hyperlink r:id="rId17">
        <w:r>
          <w:rPr>
            <w:color w:val="1155CC"/>
            <w:sz w:val="24"/>
            <w:szCs w:val="24"/>
            <w:highlight w:val="white"/>
            <w:u w:val="single"/>
          </w:rPr>
          <w:t>запущены в эксплуатацию новые поэтажные эскалаторы</w:t>
        </w:r>
      </w:hyperlink>
      <w:r>
        <w:rPr>
          <w:sz w:val="24"/>
          <w:szCs w:val="24"/>
          <w:highlight w:val="white"/>
        </w:rPr>
        <w:t>.</w:t>
      </w:r>
    </w:p>
    <w:p w14:paraId="7FEB8CDE" w14:textId="77777777" w:rsidR="00BB75C4" w:rsidRDefault="005A1E68">
      <w:pPr>
        <w:spacing w:before="240" w:after="240"/>
        <w:jc w:val="both"/>
        <w:rPr>
          <w:color w:val="1155CC"/>
          <w:sz w:val="24"/>
          <w:szCs w:val="24"/>
          <w:highlight w:val="white"/>
          <w:u w:val="single"/>
        </w:rPr>
      </w:pPr>
      <w:r>
        <w:rPr>
          <w:sz w:val="24"/>
          <w:szCs w:val="24"/>
          <w:highlight w:val="white"/>
        </w:rPr>
        <w:t>►</w:t>
      </w:r>
      <w:r>
        <w:rPr>
          <w:sz w:val="24"/>
          <w:szCs w:val="24"/>
          <w:highlight w:val="white"/>
        </w:rPr>
        <w:t xml:space="preserve"> август — </w:t>
      </w:r>
      <w:r>
        <w:rPr>
          <w:color w:val="232438"/>
          <w:sz w:val="24"/>
          <w:szCs w:val="24"/>
          <w:highlight w:val="white"/>
        </w:rPr>
        <w:t>В торговые центры Москвы и Московской области</w:t>
      </w:r>
      <w:hyperlink r:id="rId18">
        <w:r>
          <w:rPr>
            <w:color w:val="232438"/>
            <w:sz w:val="24"/>
            <w:szCs w:val="24"/>
            <w:highlight w:val="white"/>
          </w:rPr>
          <w:t xml:space="preserve"> </w:t>
        </w:r>
      </w:hyperlink>
      <w:hyperlink r:id="rId19">
        <w:r>
          <w:rPr>
            <w:color w:val="1155CC"/>
            <w:sz w:val="24"/>
            <w:szCs w:val="24"/>
            <w:highlight w:val="white"/>
            <w:u w:val="single"/>
          </w:rPr>
          <w:t>доставлены эскалаторы и траволаторы, начат монтаж.</w:t>
        </w:r>
      </w:hyperlink>
    </w:p>
    <w:p w14:paraId="0A882593" w14:textId="77777777" w:rsidR="00BB75C4" w:rsidRDefault="005A1E68">
      <w:pPr>
        <w:spacing w:before="240" w:after="240"/>
        <w:jc w:val="both"/>
        <w:rPr>
          <w:color w:val="232438"/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►</w:t>
      </w:r>
      <w:r>
        <w:rPr>
          <w:sz w:val="24"/>
          <w:szCs w:val="24"/>
          <w:highlight w:val="white"/>
        </w:rPr>
        <w:t xml:space="preserve"> июль — </w:t>
      </w:r>
      <w:r>
        <w:rPr>
          <w:color w:val="232438"/>
          <w:sz w:val="24"/>
          <w:szCs w:val="24"/>
          <w:highlight w:val="white"/>
        </w:rPr>
        <w:t>Подведены</w:t>
      </w:r>
      <w:hyperlink r:id="rId20">
        <w:r>
          <w:rPr>
            <w:color w:val="232438"/>
            <w:sz w:val="24"/>
            <w:szCs w:val="24"/>
            <w:highlight w:val="white"/>
          </w:rPr>
          <w:t xml:space="preserve"> </w:t>
        </w:r>
      </w:hyperlink>
      <w:hyperlink r:id="rId21">
        <w:r>
          <w:rPr>
            <w:color w:val="1155CC"/>
            <w:sz w:val="24"/>
            <w:szCs w:val="24"/>
            <w:highlight w:val="white"/>
            <w:u w:val="single"/>
          </w:rPr>
          <w:t>итоги годового заседания Общего собрания акционеров</w:t>
        </w:r>
      </w:hyperlink>
      <w:r>
        <w:rPr>
          <w:color w:val="232438"/>
          <w:sz w:val="24"/>
          <w:szCs w:val="24"/>
          <w:highlight w:val="white"/>
        </w:rPr>
        <w:t xml:space="preserve"> ПАО «Европейская Электротехника» за 2024 год.</w:t>
      </w:r>
    </w:p>
    <w:p w14:paraId="241634DF" w14:textId="77777777" w:rsidR="00BB75C4" w:rsidRDefault="005A1E68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Технологические системы</w:t>
      </w:r>
    </w:p>
    <w:p w14:paraId="02F718E5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События компании ООО «РНГ-Инжиниринг» (входит в ПАО «Европейская Электротехника»)</w:t>
      </w:r>
      <w:r>
        <w:rPr>
          <w:sz w:val="24"/>
          <w:szCs w:val="24"/>
        </w:rPr>
        <w:t>:</w:t>
      </w:r>
    </w:p>
    <w:p w14:paraId="5C82C06A" w14:textId="77777777" w:rsidR="00BB75C4" w:rsidRDefault="005A1E68">
      <w:pPr>
        <w:spacing w:before="240" w:after="24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►</w:t>
      </w:r>
      <w:r>
        <w:rPr>
          <w:sz w:val="24"/>
          <w:szCs w:val="24"/>
          <w:highlight w:val="white"/>
        </w:rPr>
        <w:t xml:space="preserve"> ноябрь —</w:t>
      </w:r>
      <w:r>
        <w:rPr>
          <w:sz w:val="24"/>
          <w:szCs w:val="24"/>
          <w:highlight w:val="white"/>
        </w:rPr>
        <w:t xml:space="preserve"> Осуществлена</w:t>
      </w:r>
      <w:hyperlink r:id="rId22">
        <w:r>
          <w:rPr>
            <w:color w:val="1155CC"/>
            <w:sz w:val="24"/>
            <w:szCs w:val="24"/>
            <w:highlight w:val="white"/>
          </w:rPr>
          <w:t xml:space="preserve"> </w:t>
        </w:r>
      </w:hyperlink>
      <w:hyperlink r:id="rId23">
        <w:r>
          <w:rPr>
            <w:color w:val="1155CC"/>
            <w:sz w:val="24"/>
            <w:szCs w:val="24"/>
            <w:highlight w:val="white"/>
            <w:u w:val="single"/>
          </w:rPr>
          <w:t>поставка факельных оголовков</w:t>
        </w:r>
      </w:hyperlink>
      <w:r>
        <w:rPr>
          <w:sz w:val="24"/>
          <w:szCs w:val="24"/>
          <w:highlight w:val="white"/>
        </w:rPr>
        <w:t xml:space="preserve"> для замены существующих на месторождении заказчика в Иркутской области.</w:t>
      </w:r>
      <w:r>
        <w:rPr>
          <w:sz w:val="24"/>
          <w:szCs w:val="24"/>
          <w:highlight w:val="white"/>
        </w:rPr>
        <w:br/>
      </w:r>
      <w:r>
        <w:rPr>
          <w:sz w:val="24"/>
          <w:szCs w:val="24"/>
          <w:highlight w:val="white"/>
        </w:rPr>
        <w:br/>
        <w:t xml:space="preserve"> ► ноябрь —</w:t>
      </w:r>
      <w:hyperlink r:id="rId24">
        <w:r>
          <w:rPr>
            <w:color w:val="1155CC"/>
            <w:sz w:val="24"/>
            <w:szCs w:val="24"/>
            <w:highlight w:val="white"/>
          </w:rPr>
          <w:t xml:space="preserve"> </w:t>
        </w:r>
      </w:hyperlink>
      <w:hyperlink r:id="rId25">
        <w:r>
          <w:rPr>
            <w:color w:val="1155CC"/>
            <w:sz w:val="24"/>
            <w:szCs w:val="24"/>
            <w:highlight w:val="white"/>
            <w:u w:val="single"/>
          </w:rPr>
          <w:t>Отгружено устройство</w:t>
        </w:r>
      </w:hyperlink>
      <w:r>
        <w:rPr>
          <w:sz w:val="24"/>
          <w:szCs w:val="24"/>
          <w:highlight w:val="white"/>
        </w:rPr>
        <w:t xml:space="preserve"> предварительного отбора газа с вертикальным отвод</w:t>
      </w:r>
      <w:r>
        <w:rPr>
          <w:sz w:val="24"/>
          <w:szCs w:val="24"/>
          <w:highlight w:val="white"/>
        </w:rPr>
        <w:t>ом (УПОГ) на объект ПАО «НК «РОСНЕФТЬ» в ЯНАО.</w:t>
      </w:r>
      <w:r>
        <w:rPr>
          <w:sz w:val="24"/>
          <w:szCs w:val="24"/>
          <w:highlight w:val="white"/>
        </w:rPr>
        <w:br/>
      </w:r>
      <w:r>
        <w:rPr>
          <w:sz w:val="24"/>
          <w:szCs w:val="24"/>
          <w:highlight w:val="white"/>
        </w:rPr>
        <w:br/>
        <w:t xml:space="preserve"> ► ноябрь — Осуществлён</w:t>
      </w:r>
      <w:hyperlink r:id="rId26">
        <w:r>
          <w:rPr>
            <w:color w:val="1155CC"/>
            <w:sz w:val="24"/>
            <w:szCs w:val="24"/>
            <w:highlight w:val="white"/>
          </w:rPr>
          <w:t xml:space="preserve"> </w:t>
        </w:r>
      </w:hyperlink>
      <w:hyperlink r:id="rId27">
        <w:r>
          <w:rPr>
            <w:color w:val="1155CC"/>
            <w:sz w:val="24"/>
            <w:szCs w:val="24"/>
            <w:highlight w:val="white"/>
            <w:u w:val="single"/>
          </w:rPr>
          <w:t>проект модернизации</w:t>
        </w:r>
      </w:hyperlink>
      <w:r>
        <w:rPr>
          <w:sz w:val="24"/>
          <w:szCs w:val="24"/>
          <w:highlight w:val="white"/>
        </w:rPr>
        <w:t xml:space="preserve"> действующей </w:t>
      </w:r>
      <w:proofErr w:type="spellStart"/>
      <w:r>
        <w:rPr>
          <w:sz w:val="24"/>
          <w:szCs w:val="24"/>
          <w:highlight w:val="white"/>
        </w:rPr>
        <w:t>блочно</w:t>
      </w:r>
      <w:proofErr w:type="spellEnd"/>
      <w:r>
        <w:rPr>
          <w:sz w:val="24"/>
          <w:szCs w:val="24"/>
          <w:highlight w:val="white"/>
        </w:rPr>
        <w:t>-модульной установки освоения скважин (БУОС) для компании заказчика на месторождении Иркутской облас</w:t>
      </w:r>
      <w:r>
        <w:rPr>
          <w:sz w:val="24"/>
          <w:szCs w:val="24"/>
          <w:highlight w:val="white"/>
        </w:rPr>
        <w:t>ти.</w:t>
      </w:r>
    </w:p>
    <w:p w14:paraId="1F1C7755" w14:textId="77777777" w:rsidR="00BB75C4" w:rsidRDefault="005A1E68">
      <w:pPr>
        <w:spacing w:before="240" w:after="24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►</w:t>
      </w:r>
      <w:r>
        <w:rPr>
          <w:sz w:val="24"/>
          <w:szCs w:val="24"/>
          <w:highlight w:val="white"/>
        </w:rPr>
        <w:t xml:space="preserve"> октябрь —</w:t>
      </w:r>
      <w:hyperlink r:id="rId28">
        <w:r>
          <w:rPr>
            <w:color w:val="1155CC"/>
            <w:sz w:val="24"/>
            <w:szCs w:val="24"/>
            <w:highlight w:val="white"/>
          </w:rPr>
          <w:t xml:space="preserve"> </w:t>
        </w:r>
      </w:hyperlink>
      <w:hyperlink r:id="rId29">
        <w:r>
          <w:rPr>
            <w:color w:val="1155CC"/>
            <w:sz w:val="24"/>
            <w:szCs w:val="24"/>
            <w:highlight w:val="white"/>
            <w:u w:val="single"/>
          </w:rPr>
          <w:t>Подведены итоги</w:t>
        </w:r>
      </w:hyperlink>
      <w:r>
        <w:rPr>
          <w:sz w:val="24"/>
          <w:szCs w:val="24"/>
          <w:highlight w:val="white"/>
        </w:rPr>
        <w:t xml:space="preserve"> участия в Петербургском международном газовом форуме.</w:t>
      </w:r>
    </w:p>
    <w:p w14:paraId="221AB3AD" w14:textId="77777777" w:rsidR="00BB75C4" w:rsidRDefault="005A1E68">
      <w:pPr>
        <w:spacing w:before="240" w:after="240"/>
        <w:jc w:val="both"/>
        <w:rPr>
          <w:color w:val="1155CC"/>
          <w:sz w:val="24"/>
          <w:szCs w:val="24"/>
          <w:highlight w:val="white"/>
          <w:u w:val="single"/>
        </w:rPr>
      </w:pPr>
      <w:r>
        <w:rPr>
          <w:sz w:val="24"/>
          <w:szCs w:val="24"/>
          <w:highlight w:val="white"/>
        </w:rPr>
        <w:t>►</w:t>
      </w:r>
      <w:r>
        <w:rPr>
          <w:sz w:val="24"/>
          <w:szCs w:val="24"/>
          <w:highlight w:val="white"/>
        </w:rPr>
        <w:t xml:space="preserve"> октябрь — Участие генерального директора компании «РНГ-Инжиниринг» с докладом в</w:t>
      </w:r>
      <w:hyperlink r:id="rId30">
        <w:r>
          <w:rPr>
            <w:color w:val="1155CC"/>
            <w:sz w:val="24"/>
            <w:szCs w:val="24"/>
            <w:highlight w:val="white"/>
          </w:rPr>
          <w:t xml:space="preserve"> </w:t>
        </w:r>
      </w:hyperlink>
      <w:hyperlink r:id="rId31">
        <w:r>
          <w:rPr>
            <w:color w:val="1155CC"/>
            <w:sz w:val="24"/>
            <w:szCs w:val="24"/>
            <w:highlight w:val="white"/>
            <w:u w:val="single"/>
          </w:rPr>
          <w:t>заседании секции Научно-технического совета «Добыча газа и газового конденсата» ПАО «ГАЗПРОМ».</w:t>
        </w:r>
      </w:hyperlink>
    </w:p>
    <w:p w14:paraId="756BA55F" w14:textId="77777777" w:rsidR="00BB75C4" w:rsidRDefault="005A1E68">
      <w:pPr>
        <w:spacing w:before="240" w:after="24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lastRenderedPageBreak/>
        <w:t>►</w:t>
      </w:r>
      <w:r>
        <w:rPr>
          <w:sz w:val="24"/>
          <w:szCs w:val="24"/>
          <w:highlight w:val="white"/>
        </w:rPr>
        <w:t xml:space="preserve"> октябрь — </w:t>
      </w:r>
      <w:r>
        <w:rPr>
          <w:sz w:val="24"/>
          <w:szCs w:val="24"/>
          <w:highlight w:val="white"/>
        </w:rPr>
        <w:t>Получен</w:t>
      </w:r>
      <w:hyperlink r:id="rId32">
        <w:r>
          <w:rPr>
            <w:color w:val="1155CC"/>
            <w:sz w:val="24"/>
            <w:szCs w:val="24"/>
            <w:highlight w:val="white"/>
          </w:rPr>
          <w:t xml:space="preserve"> </w:t>
        </w:r>
      </w:hyperlink>
      <w:hyperlink r:id="rId33">
        <w:r>
          <w:rPr>
            <w:color w:val="1155CC"/>
            <w:sz w:val="24"/>
            <w:szCs w:val="24"/>
            <w:highlight w:val="white"/>
            <w:u w:val="single"/>
          </w:rPr>
          <w:t>патент на оголовок</w:t>
        </w:r>
      </w:hyperlink>
      <w:r>
        <w:rPr>
          <w:color w:val="1155CC"/>
          <w:sz w:val="24"/>
          <w:szCs w:val="24"/>
          <w:highlight w:val="white"/>
          <w:u w:val="single"/>
        </w:rPr>
        <w:t xml:space="preserve"> </w:t>
      </w:r>
      <w:r>
        <w:rPr>
          <w:sz w:val="24"/>
          <w:szCs w:val="24"/>
          <w:highlight w:val="white"/>
        </w:rPr>
        <w:t>вертикального факела ОФ-700.</w:t>
      </w:r>
    </w:p>
    <w:p w14:paraId="3DB43030" w14:textId="77777777" w:rsidR="00BB75C4" w:rsidRDefault="005A1E68">
      <w:pPr>
        <w:spacing w:before="240" w:after="24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►</w:t>
      </w:r>
      <w:r>
        <w:rPr>
          <w:sz w:val="24"/>
          <w:szCs w:val="24"/>
          <w:highlight w:val="white"/>
        </w:rPr>
        <w:t xml:space="preserve"> август —</w:t>
      </w:r>
      <w:hyperlink r:id="rId34">
        <w:r>
          <w:rPr>
            <w:color w:val="1155CC"/>
            <w:sz w:val="24"/>
            <w:szCs w:val="24"/>
            <w:highlight w:val="white"/>
          </w:rPr>
          <w:t xml:space="preserve"> </w:t>
        </w:r>
      </w:hyperlink>
      <w:hyperlink r:id="rId35">
        <w:r>
          <w:rPr>
            <w:color w:val="1155CC"/>
            <w:sz w:val="24"/>
            <w:szCs w:val="24"/>
            <w:highlight w:val="white"/>
            <w:u w:val="single"/>
          </w:rPr>
          <w:t>Отгружены свечи рассеивания</w:t>
        </w:r>
      </w:hyperlink>
      <w:r>
        <w:rPr>
          <w:b/>
          <w:bCs/>
          <w:sz w:val="24"/>
          <w:szCs w:val="24"/>
          <w:highlight w:val="white"/>
        </w:rPr>
        <w:t xml:space="preserve"> </w:t>
      </w:r>
      <w:r>
        <w:rPr>
          <w:sz w:val="24"/>
          <w:szCs w:val="24"/>
          <w:highlight w:val="white"/>
        </w:rPr>
        <w:t>на месторождения Иркутской области</w:t>
      </w:r>
      <w:r>
        <w:rPr>
          <w:b/>
          <w:bCs/>
          <w:sz w:val="24"/>
          <w:szCs w:val="24"/>
          <w:highlight w:val="white"/>
        </w:rPr>
        <w:t>.</w:t>
      </w:r>
      <w:r>
        <w:rPr>
          <w:b/>
          <w:bCs/>
          <w:sz w:val="24"/>
          <w:szCs w:val="24"/>
          <w:highlight w:val="white"/>
        </w:rPr>
        <w:br/>
      </w:r>
      <w:r>
        <w:rPr>
          <w:b/>
          <w:bCs/>
          <w:sz w:val="24"/>
          <w:szCs w:val="24"/>
          <w:highlight w:val="white"/>
        </w:rPr>
        <w:br/>
        <w:t xml:space="preserve"> </w:t>
      </w:r>
      <w:r>
        <w:rPr>
          <w:sz w:val="24"/>
          <w:szCs w:val="24"/>
          <w:highlight w:val="white"/>
        </w:rPr>
        <w:t>►</w:t>
      </w:r>
      <w:r>
        <w:rPr>
          <w:sz w:val="24"/>
          <w:szCs w:val="24"/>
          <w:highlight w:val="white"/>
        </w:rPr>
        <w:t xml:space="preserve"> июль — Завершены</w:t>
      </w:r>
      <w:hyperlink r:id="rId36">
        <w:r>
          <w:rPr>
            <w:color w:val="1155CC"/>
            <w:sz w:val="24"/>
            <w:szCs w:val="24"/>
            <w:highlight w:val="white"/>
          </w:rPr>
          <w:t xml:space="preserve"> </w:t>
        </w:r>
      </w:hyperlink>
      <w:hyperlink r:id="rId37">
        <w:r>
          <w:rPr>
            <w:color w:val="1155CC"/>
            <w:sz w:val="24"/>
            <w:szCs w:val="24"/>
            <w:highlight w:val="white"/>
            <w:u w:val="single"/>
          </w:rPr>
          <w:t>шеф-монтажные работы</w:t>
        </w:r>
      </w:hyperlink>
      <w:r>
        <w:rPr>
          <w:sz w:val="24"/>
          <w:szCs w:val="24"/>
          <w:highlight w:val="white"/>
        </w:rPr>
        <w:t xml:space="preserve"> блока технологического узла редуцирования газа на полуострове Камчатка.</w:t>
      </w:r>
    </w:p>
    <w:p w14:paraId="44A972E2" w14:textId="77777777" w:rsidR="00BB75C4" w:rsidRDefault="005A1E68">
      <w:pPr>
        <w:spacing w:before="240" w:after="240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►</w:t>
      </w:r>
      <w:r>
        <w:rPr>
          <w:sz w:val="24"/>
          <w:szCs w:val="24"/>
          <w:highlight w:val="white"/>
        </w:rPr>
        <w:t xml:space="preserve"> июль —</w:t>
      </w:r>
      <w:hyperlink r:id="rId38">
        <w:r>
          <w:rPr>
            <w:color w:val="1155CC"/>
            <w:sz w:val="24"/>
            <w:szCs w:val="24"/>
            <w:highlight w:val="white"/>
          </w:rPr>
          <w:t xml:space="preserve"> </w:t>
        </w:r>
      </w:hyperlink>
      <w:hyperlink r:id="rId39">
        <w:r>
          <w:rPr>
            <w:color w:val="1155CC"/>
            <w:sz w:val="24"/>
            <w:szCs w:val="24"/>
            <w:highlight w:val="white"/>
            <w:u w:val="single"/>
          </w:rPr>
          <w:t>Отгружены сепараторы</w:t>
        </w:r>
      </w:hyperlink>
      <w:r>
        <w:rPr>
          <w:sz w:val="24"/>
          <w:szCs w:val="24"/>
          <w:highlight w:val="white"/>
        </w:rPr>
        <w:t xml:space="preserve"> НГСВМ-А на месторождения Тюменской области.</w:t>
      </w:r>
    </w:p>
    <w:p w14:paraId="33A932F3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>►</w:t>
      </w:r>
      <w:r>
        <w:rPr>
          <w:sz w:val="24"/>
          <w:szCs w:val="24"/>
          <w:highlight w:val="white"/>
        </w:rPr>
        <w:t xml:space="preserve"> июль</w:t>
      </w:r>
      <w:hyperlink r:id="rId40">
        <w:r>
          <w:rPr>
            <w:color w:val="1155CC"/>
            <w:sz w:val="24"/>
            <w:szCs w:val="24"/>
            <w:highlight w:val="white"/>
          </w:rPr>
          <w:t xml:space="preserve"> — </w:t>
        </w:r>
      </w:hyperlink>
      <w:hyperlink r:id="rId41">
        <w:r>
          <w:rPr>
            <w:color w:val="1155CC"/>
            <w:sz w:val="24"/>
            <w:szCs w:val="24"/>
            <w:highlight w:val="white"/>
            <w:u w:val="single"/>
          </w:rPr>
          <w:t>О</w:t>
        </w:r>
      </w:hyperlink>
      <w:hyperlink r:id="rId42">
        <w:r>
          <w:rPr>
            <w:color w:val="1155CC"/>
            <w:sz w:val="24"/>
            <w:szCs w:val="24"/>
            <w:u w:val="single"/>
          </w:rPr>
          <w:t>тгружен концевой делитель фаз трубный автоматизированный (КДФТ-А)</w:t>
        </w:r>
      </w:hyperlink>
      <w:r>
        <w:rPr>
          <w:sz w:val="24"/>
          <w:szCs w:val="24"/>
        </w:rPr>
        <w:t xml:space="preserve"> на месторождение заказчика в Томскую область.</w:t>
      </w:r>
    </w:p>
    <w:p w14:paraId="7D146EDD" w14:textId="77777777" w:rsidR="00BB75C4" w:rsidRDefault="00BB75C4">
      <w:pPr>
        <w:spacing w:before="240" w:after="240"/>
        <w:jc w:val="both"/>
        <w:rPr>
          <w:sz w:val="24"/>
          <w:szCs w:val="24"/>
        </w:rPr>
      </w:pPr>
    </w:p>
    <w:p w14:paraId="13EE0548" w14:textId="77777777" w:rsidR="00BB75C4" w:rsidRDefault="005A1E68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D4D4B56" w14:textId="77777777" w:rsidR="00BB75C4" w:rsidRDefault="005A1E68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>***</w:t>
      </w:r>
    </w:p>
    <w:p w14:paraId="094FF438" w14:textId="77777777" w:rsidR="00BB75C4" w:rsidRDefault="005A1E68">
      <w:pPr>
        <w:spacing w:before="240" w:after="24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5B58B0E1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Контакты для получения дополнительной информации</w:t>
      </w:r>
      <w:r>
        <w:rPr>
          <w:sz w:val="24"/>
          <w:szCs w:val="24"/>
        </w:rPr>
        <w:t>:</w:t>
      </w:r>
    </w:p>
    <w:p w14:paraId="74868BD7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68AFAAB8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IR-с</w:t>
      </w:r>
      <w:r>
        <w:rPr>
          <w:sz w:val="24"/>
          <w:szCs w:val="24"/>
        </w:rPr>
        <w:t>лужба</w:t>
      </w:r>
    </w:p>
    <w:p w14:paraId="3635392C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Сергей Петров</w:t>
      </w:r>
    </w:p>
    <w:p w14:paraId="32DF2F24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Тел. +7-925-185-50-42</w:t>
      </w:r>
    </w:p>
    <w:p w14:paraId="37204FF8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e-mail</w:t>
      </w:r>
      <w:proofErr w:type="spellEnd"/>
      <w:r>
        <w:rPr>
          <w:sz w:val="24"/>
          <w:szCs w:val="24"/>
        </w:rPr>
        <w:t>: petrov@euroet.ru</w:t>
      </w:r>
    </w:p>
    <w:p w14:paraId="6DA8B967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CDD9C3A" w14:textId="77777777" w:rsidR="00BB75C4" w:rsidRDefault="005A1E68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О ПАО «Европейская Электротехника»</w:t>
      </w:r>
    </w:p>
    <w:p w14:paraId="5CBF47FE" w14:textId="77777777" w:rsidR="00BB75C4" w:rsidRDefault="005A1E68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ПАО «Европейская Электротехника»</w:t>
      </w:r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-</w:t>
      </w:r>
      <w:r>
        <w:rPr>
          <w:sz w:val="24"/>
          <w:szCs w:val="24"/>
        </w:rPr>
        <w:t xml:space="preserve"> это</w:t>
      </w:r>
      <w:proofErr w:type="gramEnd"/>
      <w:r>
        <w:rPr>
          <w:sz w:val="24"/>
          <w:szCs w:val="24"/>
        </w:rPr>
        <w:t xml:space="preserve"> российская компания, ведущая активную деятельность по реализации комплексных решений в сфере инженерных и технол</w:t>
      </w:r>
      <w:r>
        <w:rPr>
          <w:sz w:val="24"/>
          <w:szCs w:val="24"/>
        </w:rPr>
        <w:t>огических систем в промышленности, строительстве, инфраструктуре: оборудование распределения низкого и среднего напряжения, слаботочные системы, системы освещения, системы промышленного электрообогрева, оборудование для нефтегазовой, нефтехимической и газо</w:t>
      </w:r>
      <w:r>
        <w:rPr>
          <w:sz w:val="24"/>
          <w:szCs w:val="24"/>
        </w:rPr>
        <w:t>химической промышленности.</w:t>
      </w:r>
    </w:p>
    <w:p w14:paraId="3139BCE8" w14:textId="77777777" w:rsidR="00BB75C4" w:rsidRDefault="005A1E68">
      <w:pPr>
        <w:spacing w:before="240" w:after="240"/>
        <w:jc w:val="both"/>
        <w:rPr>
          <w:i/>
          <w:iCs/>
          <w:color w:val="232438"/>
          <w:sz w:val="24"/>
          <w:szCs w:val="24"/>
          <w:highlight w:val="white"/>
        </w:rPr>
      </w:pPr>
      <w:r>
        <w:rPr>
          <w:i/>
          <w:iCs/>
          <w:color w:val="232438"/>
          <w:sz w:val="24"/>
          <w:szCs w:val="24"/>
          <w:highlight w:val="white"/>
        </w:rPr>
        <w:lastRenderedPageBreak/>
        <w:t xml:space="preserve"> </w:t>
      </w:r>
    </w:p>
    <w:p w14:paraId="0F10DDC3" w14:textId="77777777" w:rsidR="00BB75C4" w:rsidRDefault="00BB75C4">
      <w:pPr>
        <w:spacing w:before="240" w:after="240"/>
        <w:jc w:val="both"/>
        <w:rPr>
          <w:sz w:val="24"/>
          <w:szCs w:val="24"/>
        </w:rPr>
      </w:pPr>
    </w:p>
    <w:p w14:paraId="15182E46" w14:textId="77777777" w:rsidR="00BB75C4" w:rsidRDefault="00BB75C4">
      <w:pPr>
        <w:spacing w:before="240" w:after="240"/>
        <w:jc w:val="both"/>
        <w:rPr>
          <w:sz w:val="24"/>
          <w:szCs w:val="24"/>
        </w:rPr>
      </w:pPr>
    </w:p>
    <w:sectPr w:rsidR="00BB75C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C1B65C9-09A2-4BEE-BC43-4BBBD901D00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EC1DF0B6-4AAA-4975-9EA8-AE8A6A8097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75C4"/>
    <w:rsid w:val="005A1E68"/>
    <w:rsid w:val="00BB7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87EA2"/>
  <w15:docId w15:val="{085499F7-0295-4757-903A-2789F77C7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uroetpao.ru/press/news/3775/" TargetMode="External"/><Relationship Id="rId18" Type="http://schemas.openxmlformats.org/officeDocument/2006/relationships/hyperlink" Target="https://euroetpao.ru/press/news/3762/" TargetMode="External"/><Relationship Id="rId26" Type="http://schemas.openxmlformats.org/officeDocument/2006/relationships/hyperlink" Target="https://www.rogeng.ru/novosti/realizatsiya-proekta-modernizatsii-deystvuyushchey-blochno-modulnoy-ustanovki-osvoeniya-skvazhin-buo/" TargetMode="External"/><Relationship Id="rId39" Type="http://schemas.openxmlformats.org/officeDocument/2006/relationships/hyperlink" Target="https://www.rogeng.ru/novosti/otgruzka-separatorov-ngsvm-a-na-mestorozhdeniya-tyumenskoy-oblasti/" TargetMode="External"/><Relationship Id="rId21" Type="http://schemas.openxmlformats.org/officeDocument/2006/relationships/hyperlink" Target="https://euroetpao.ru/press/news/3757/" TargetMode="External"/><Relationship Id="rId34" Type="http://schemas.openxmlformats.org/officeDocument/2006/relationships/hyperlink" Target="https://www.rogeng.ru/novosti/svecha-rasseivaniya-gotova-k-otgruzke-na-mestorozhdenie-zakazchika-v-irkutskuyu-oblast/?clear_cache=Y" TargetMode="External"/><Relationship Id="rId42" Type="http://schemas.openxmlformats.org/officeDocument/2006/relationships/hyperlink" Target="https://www.rogeng.ru/novosti/otgruzka-kdft-na-mestorozhdenie-zakazchika-v-tomskuyu-oblast/" TargetMode="External"/><Relationship Id="rId7" Type="http://schemas.openxmlformats.org/officeDocument/2006/relationships/hyperlink" Target="https://euroetpao.ru/press/news/3789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uroetpao.ru/press/news/3766/" TargetMode="External"/><Relationship Id="rId20" Type="http://schemas.openxmlformats.org/officeDocument/2006/relationships/hyperlink" Target="https://euroetpao.ru/press/news/3757/" TargetMode="External"/><Relationship Id="rId29" Type="http://schemas.openxmlformats.org/officeDocument/2006/relationships/hyperlink" Target="https://www.rogeng.ru/novosti/itogi-pmgf-2025/" TargetMode="External"/><Relationship Id="rId41" Type="http://schemas.openxmlformats.org/officeDocument/2006/relationships/hyperlink" Target="https://www.rogeng.ru/novosti/otgruzka-kdft-na-mestorozhdenie-zakazchika-v-tomskuyu-oblast/" TargetMode="External"/><Relationship Id="rId1" Type="http://schemas.openxmlformats.org/officeDocument/2006/relationships/styles" Target="styles.xml"/><Relationship Id="rId6" Type="http://schemas.openxmlformats.org/officeDocument/2006/relationships/hyperlink" Target="https://euroetpao.ru/press/news/3789/" TargetMode="External"/><Relationship Id="rId11" Type="http://schemas.openxmlformats.org/officeDocument/2006/relationships/hyperlink" Target="https://euroetpao.ru/press/news/3777/" TargetMode="External"/><Relationship Id="rId24" Type="http://schemas.openxmlformats.org/officeDocument/2006/relationships/hyperlink" Target="https://www.rogeng.ru/novosti/ustroystvo-predvaritelnogo-otbora-gaza-s-vertikalnym-otvodom-upog-otgruzheno-na-obekt-pao-nk-rosneft/" TargetMode="External"/><Relationship Id="rId32" Type="http://schemas.openxmlformats.org/officeDocument/2006/relationships/hyperlink" Target="https://www.rogeng.ru/novosti/obmen-ofitsialnymi-patentami-na-ogolovok-vertikalnogo-tipa-s-kompaniey-ooo-gazprom-dobycha-astrakhan/" TargetMode="External"/><Relationship Id="rId37" Type="http://schemas.openxmlformats.org/officeDocument/2006/relationships/hyperlink" Target="https://www.rogeng.ru/novosti/zavershenie-shef-montazhnykh-rabot-bloka-tekhnologicheskogo-uzla-redutsirovaniya-gaza-na-poluostrove/" TargetMode="External"/><Relationship Id="rId40" Type="http://schemas.openxmlformats.org/officeDocument/2006/relationships/hyperlink" Target="https://www.rogeng.ru/novosti/otgruzka-kdft-na-mestorozhdenie-zakazchika-v-tomskuyu-oblast/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euroetpao.ru/press/news/3774/" TargetMode="External"/><Relationship Id="rId23" Type="http://schemas.openxmlformats.org/officeDocument/2006/relationships/hyperlink" Target="https://www.rogeng.ru/novosti/zamena-sushchestvuyushchikh-fakelnykh-ogolovkov-na-mestorozhdenii-irkutskoy-oblasti/" TargetMode="External"/><Relationship Id="rId28" Type="http://schemas.openxmlformats.org/officeDocument/2006/relationships/hyperlink" Target="https://www.rogeng.ru/novosti/itogi-pmgf-2025/" TargetMode="External"/><Relationship Id="rId36" Type="http://schemas.openxmlformats.org/officeDocument/2006/relationships/hyperlink" Target="https://www.rogeng.ru/novosti/zavershenie-shef-montazhnykh-rabot-bloka-tekhnologicheskogo-uzla-redutsirovaniya-gaza-na-poluostrove/" TargetMode="External"/><Relationship Id="rId10" Type="http://schemas.openxmlformats.org/officeDocument/2006/relationships/hyperlink" Target="https://euroetpao.ru/press/news/3777/" TargetMode="External"/><Relationship Id="rId19" Type="http://schemas.openxmlformats.org/officeDocument/2006/relationships/hyperlink" Target="https://euroetpao.ru/press/news/3762/" TargetMode="External"/><Relationship Id="rId31" Type="http://schemas.openxmlformats.org/officeDocument/2006/relationships/hyperlink" Target="https://www.rogeng.ru/novosti/zasedanie-sektsii-nauchno-tekhnicheskogo-soveta-dobycha-gaza-i-gazovogo-kondensata-/" TargetMode="External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euroetpao.ru/press/news/3786/" TargetMode="External"/><Relationship Id="rId14" Type="http://schemas.openxmlformats.org/officeDocument/2006/relationships/hyperlink" Target="https://euroetpao.ru/press/news/3774/" TargetMode="External"/><Relationship Id="rId22" Type="http://schemas.openxmlformats.org/officeDocument/2006/relationships/hyperlink" Target="https://www.rogeng.ru/novosti/zamena-sushchestvuyushchikh-fakelnykh-ogolovkov-na-mestorozhdenii-irkutskoy-oblasti/" TargetMode="External"/><Relationship Id="rId27" Type="http://schemas.openxmlformats.org/officeDocument/2006/relationships/hyperlink" Target="https://www.rogeng.ru/novosti/realizatsiya-proekta-modernizatsii-deystvuyushchey-blochno-modulnoy-ustanovki-osvoeniya-skvazhin-buo/" TargetMode="External"/><Relationship Id="rId30" Type="http://schemas.openxmlformats.org/officeDocument/2006/relationships/hyperlink" Target="https://www.rogeng.ru/novosti/zasedanie-sektsii-nauchno-tekhnicheskogo-soveta-dobycha-gaza-i-gazovogo-kondensata-/" TargetMode="External"/><Relationship Id="rId35" Type="http://schemas.openxmlformats.org/officeDocument/2006/relationships/hyperlink" Target="https://www.rogeng.ru/novosti/svecha-rasseivaniya-gotova-k-otgruzke-na-mestorozhdenie-zakazchika-v-irkutskuyu-oblast/?clear_cache=Y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euroetpao.ru/press/news/3786/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euroetpao.ru/press/news/3775/" TargetMode="External"/><Relationship Id="rId17" Type="http://schemas.openxmlformats.org/officeDocument/2006/relationships/hyperlink" Target="https://euroetpao.ru/press/news/3766/" TargetMode="External"/><Relationship Id="rId25" Type="http://schemas.openxmlformats.org/officeDocument/2006/relationships/hyperlink" Target="https://www.rogeng.ru/novosti/ustroystvo-predvaritelnogo-otbora-gaza-s-vertikalnym-otvodom-upog-otgruzheno-na-obekt-pao-nk-rosneft/" TargetMode="External"/><Relationship Id="rId33" Type="http://schemas.openxmlformats.org/officeDocument/2006/relationships/hyperlink" Target="https://www.rogeng.ru/novosti/obmen-ofitsialnymi-patentami-na-ogolovok-vertikalnogo-tipa-s-kompaniey-ooo-gazprom-dobycha-astrakhan/" TargetMode="External"/><Relationship Id="rId38" Type="http://schemas.openxmlformats.org/officeDocument/2006/relationships/hyperlink" Target="https://www.rogeng.ru/novosti/otgruzka-separatorov-ngsvm-a-na-mestorozhdeniya-tyumenskoy-oblasti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1687</Words>
  <Characters>11220</Characters>
  <Application>Microsoft Office Word</Application>
  <DocSecurity>4</DocSecurity>
  <Lines>1122</Lines>
  <Paragraphs>478</Paragraphs>
  <ScaleCrop>false</ScaleCrop>
  <Company/>
  <LinksUpToDate>false</LinksUpToDate>
  <CharactersWithSpaces>12429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Щеглова Евгения Владимировна</dc:creator>
  <cp:lastModifiedBy>Щеглова Евгения Владимировна</cp:lastModifiedBy>
  <cp:revision>2</cp:revision>
  <dcterms:created xsi:type="dcterms:W3CDTF">2025-12-02T13:54:00Z</dcterms:created>
  <dcterms:modified xsi:type="dcterms:W3CDTF">2025-12-02T13:54:00Z</dcterms:modified>
</cp:coreProperties>
</file>