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</wp:posOffset>
                      </wp:positionH>
                      <wp:positionV relativeFrom="paragraph">
                        <wp:posOffset>424</wp:posOffset>
                      </wp:positionV>
                      <wp:extent cx="1195705" cy="377825"/>
                      <wp:effectExtent l="0" t="0" r="0" b="3175"/>
                      <wp:wrapThrough wrapText="bothSides">
                        <wp:wrapPolygon edited="1">
                          <wp:start x="1834" y="0"/>
                          <wp:lineTo x="0" y="4356"/>
                          <wp:lineTo x="0" y="15973"/>
                          <wp:lineTo x="1606" y="21055"/>
                          <wp:lineTo x="5047" y="21055"/>
                          <wp:lineTo x="21336" y="21055"/>
                          <wp:lineTo x="21336" y="2904"/>
                          <wp:lineTo x="4818" y="0"/>
                          <wp:lineTo x="1834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70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0pt;mso-position-horizontal:absolute;mso-position-vertical-relative:text;margin-top:0.03pt;mso-position-vertical:absolute;width:94.15pt;height:29.75pt;mso-wrap-distance-left:9.00pt;mso-wrap-distance-top:0.00pt;mso-wrap-distance-right:9.00pt;mso-wrap-distance-bottom:0.00pt;" wrapcoords="8491 0 0 20167 0 73949 7435 97477 23366 97477 98778 97477 98778 13444 22306 0 849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Волги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jc w:val="center"/>
        <w:rPr>
          <w:rFonts w:ascii="Arial Narrow" w:hAnsi="Arial Narrow" w:cs="Arial"/>
          <w:b/>
          <w:bCs/>
          <w:sz w:val="26"/>
          <w:szCs w:val="26"/>
          <w:vertAlign w:val="subscript"/>
        </w:rPr>
      </w:pPr>
      <w:r>
        <w:rPr>
          <w:rFonts w:ascii="Arial Narrow" w:hAnsi="Arial Narrow" w:cs="Arial"/>
          <w:b/>
          <w:bCs/>
          <w:sz w:val="26"/>
          <w:szCs w:val="26"/>
          <w:vertAlign w:val="subscript"/>
        </w:rPr>
      </w:r>
      <w:r>
        <w:rPr>
          <w:rFonts w:ascii="Arial Narrow" w:hAnsi="Arial Narrow" w:cs="Arial"/>
          <w:b/>
          <w:bCs/>
          <w:sz w:val="26"/>
          <w:szCs w:val="26"/>
          <w:vertAlign w:val="subscript"/>
        </w:rPr>
      </w:r>
      <w:r>
        <w:rPr>
          <w:rFonts w:ascii="Arial Narrow" w:hAnsi="Arial Narrow" w:cs="Arial"/>
          <w:b/>
          <w:bCs/>
          <w:sz w:val="26"/>
          <w:szCs w:val="26"/>
          <w:vertAlign w:val="subscript"/>
        </w:rPr>
      </w:r>
    </w:p>
    <w:p>
      <w:pPr>
        <w:ind w:left="28"/>
        <w:jc w:val="center"/>
        <w:rPr>
          <w:rFonts w:ascii="Arial Narrow" w:hAnsi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  <w:highlight w:val="none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4"/>
          <w:szCs w:val="24"/>
          <w:highlight w:val="none"/>
        </w:rPr>
        <w:t xml:space="preserve">«Россети» обеспечили увеличение  мощности ведущему производителю продукции для металлургии</w:t>
      </w:r>
      <w:r>
        <w:rPr>
          <w:rFonts w:ascii="Arial Narrow" w:hAnsi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cs="Arial Narrow"/>
          <w:b/>
          <w:bCs/>
          <w:sz w:val="26"/>
          <w:szCs w:val="26"/>
          <w:highlight w:val="none"/>
        </w:rPr>
      </w:r>
    </w:p>
    <w:p>
      <w:pPr>
        <w:ind w:left="28"/>
        <w:jc w:val="both"/>
        <w:rPr>
          <w:rFonts w:ascii="Arial Narrow" w:hAnsi="Arial Narrow" w:eastAsia="Arial Narrow" w:cs="Arial Narrow"/>
          <w:color w:val="000000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</w:rPr>
        <w:t xml:space="preserve">«Россети» завершили модернизацию открытого распределительного устройства 110 кВ на подстанции 220 кВ, расположенной в Оренбургской области. </w:t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</w:rPr>
        <w:t xml:space="preserve">Реализация проекта позволила увеличить на 35 МВт объем выдаваемой мощности группе предприятий «Новотроицкого завода</w:t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</w:rPr>
        <w:t xml:space="preserve"> хромовых соединений» (АО «НЗХС»), одному из ведущих российских предприятий по переработке хромовой руды. </w:t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</w:rPr>
      </w:r>
    </w:p>
    <w:p>
      <w:pPr>
        <w:ind w:left="28"/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В рамках работ энергетики выполнили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на объекте  замену ошиновки 110 кВ, предназначенной для выполнения соединений между высоковольтными аппаратами. Выполненные работы позволили увеличить  пропускную способность линий 110 кВ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,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через которые осуществляется электроснабжение завода.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Кроме того, в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2025 году на энергообъекте проведена частичная модернизация коммутационного оборудования 110-220 кВ, а также установлены новые микропроцессорные комплексы релейной защиты отечественного производства.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ind w:left="28"/>
        <w:jc w:val="both"/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Дополнительная мощность необходима для развития новой производственной линии завода по выпуску  металлического магния и кальция.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Подстанция, установленной мощностью 400 МВА, является ключевым объектом энергоснабжения востока Оренбургской области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. Она питает электроэнергией  площадки химической и пищев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ой промышленности, металлургии и строительной отрасли. </w:t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ind w:left="28"/>
        <w:jc w:val="both"/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pP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</w:p>
    <w:p>
      <w:pPr>
        <w:ind w:left="28"/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</w:p>
    <w:p>
      <w:pPr>
        <w:ind w:left="28"/>
        <w:jc w:val="both"/>
        <w:rPr>
          <w:rFonts w:ascii="Arial Narrow" w:hAnsi="Arial Narrow" w:eastAsia="Arial Narrow" w:cs="Arial Narrow"/>
          <w:sz w:val="26"/>
          <w:szCs w:val="26"/>
          <w:highlight w:val="white"/>
        </w:rPr>
      </w:pP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</w:rPr>
      </w:r>
    </w:p>
    <w:p>
      <w:pPr>
        <w:ind w:left="0"/>
        <w:jc w:val="both"/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pP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Footer Char"/>
    <w:basedOn w:val="682"/>
    <w:link w:val="706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82"/>
    <w:link w:val="706"/>
    <w:uiPriority w:val="99"/>
  </w:style>
  <w:style w:type="paragraph" w:styleId="708">
    <w:name w:val="Caption"/>
    <w:basedOn w:val="672"/>
    <w:next w:val="672"/>
    <w:link w:val="709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азвание объекта Знак"/>
    <w:basedOn w:val="682"/>
    <w:link w:val="708"/>
    <w:uiPriority w:val="35"/>
    <w:rPr>
      <w:b/>
      <w:bCs/>
      <w:color w:val="4472c4" w:themeColor="accent1"/>
      <w:sz w:val="18"/>
      <w:szCs w:val="18"/>
    </w:rPr>
  </w:style>
  <w:style w:type="table" w:styleId="710" w:customStyle="1">
    <w:name w:val="Table Grid Light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8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8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Balloon Text"/>
    <w:basedOn w:val="672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Hyperlink"/>
    <w:uiPriority w:val="99"/>
    <w:unhideWhenUsed/>
    <w:rPr>
      <w:color w:val="0000ff"/>
      <w:u w:val="single"/>
    </w:rPr>
  </w:style>
  <w:style w:type="paragraph" w:styleId="856" w:customStyle="1">
    <w:name w:val="Normal (Web)"/>
    <w:basedOn w:val="67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Panina-DD</cp:lastModifiedBy>
  <cp:revision>31</cp:revision>
  <dcterms:created xsi:type="dcterms:W3CDTF">2025-05-20T07:02:00Z</dcterms:created>
  <dcterms:modified xsi:type="dcterms:W3CDTF">2025-12-30T05:57:49Z</dcterms:modified>
</cp:coreProperties>
</file>