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</wp:posOffset>
                      </wp:positionH>
                      <wp:positionV relativeFrom="paragraph">
                        <wp:posOffset>424</wp:posOffset>
                      </wp:positionV>
                      <wp:extent cx="1195705" cy="377825"/>
                      <wp:effectExtent l="0" t="0" r="0" b="3175"/>
                      <wp:wrapThrough wrapText="bothSides">
                        <wp:wrapPolygon edited="1">
                          <wp:start x="1834" y="0"/>
                          <wp:lineTo x="0" y="4356"/>
                          <wp:lineTo x="0" y="15973"/>
                          <wp:lineTo x="1606" y="21055"/>
                          <wp:lineTo x="5047" y="21055"/>
                          <wp:lineTo x="21336" y="21055"/>
                          <wp:lineTo x="21336" y="2904"/>
                          <wp:lineTo x="4818" y="0"/>
                          <wp:lineTo x="1834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70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0pt;mso-position-horizontal:absolute;mso-position-vertical-relative:text;margin-top:0.03pt;mso-position-vertical:absolute;width:94.15pt;height:29.75pt;mso-wrap-distance-left:9.00pt;mso-wrap-distance-top:0.00pt;mso-wrap-distance-right:9.00pt;mso-wrap-distance-bottom:0.00pt;" wrapcoords="8491 0 0 20167 0 73949 7435 97477 23366 97477 98778 97477 98778 13444 22306 0 849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Волги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-142"/>
        <w:jc w:val="center"/>
        <w:rPr>
          <w:rFonts w:ascii="Arial Narrow" w:hAnsi="Arial Narrow" w:eastAsia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Филиал ПАО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«Россети» заменил более 4,7 тыс. изоляторов на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энерготранзитах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 Саратовской области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bCs/>
          <w:sz w:val="26"/>
          <w:szCs w:val="26"/>
        </w:rPr>
        <w:t xml:space="preserve">Филиал ПАО «Россети» 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обновил изоляцию на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 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14 ключевых </w:t>
      </w:r>
      <w:r>
        <w:rPr>
          <w:rFonts w:ascii="Arial Narrow" w:hAnsi="Arial Narrow" w:cs="Arial"/>
          <w:b w:val="0"/>
          <w:bCs w:val="0"/>
          <w:i w:val="0"/>
          <w:sz w:val="26"/>
          <w:szCs w:val="26"/>
          <w:highlight w:val="none"/>
          <w14:ligatures w14:val="none"/>
        </w:rPr>
        <w:t xml:space="preserve">линиях электропередачи</w:t>
      </w:r>
      <w:r>
        <w:rPr>
          <w:rFonts w:ascii="Arial Narrow" w:hAnsi="Arial Narrow" w:cs="Arial"/>
          <w:b w:val="0"/>
          <w:bCs w:val="0"/>
          <w:i w:val="0"/>
          <w:sz w:val="26"/>
          <w:szCs w:val="26"/>
          <w:highlight w:val="none"/>
          <w14:ligatures w14:val="none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</w:rPr>
        <w:t xml:space="preserve">220</w:t>
      </w:r>
      <w:r>
        <w:rPr>
          <w:rFonts w:ascii="Arial Narrow" w:hAnsi="Arial Narrow" w:eastAsia="Arial Narrow" w:cs="Arial Narrow"/>
          <w:sz w:val="26"/>
          <w:szCs w:val="26"/>
        </w:rPr>
        <w:t xml:space="preserve">–</w:t>
      </w:r>
      <w:r>
        <w:rPr>
          <w:rFonts w:ascii="Arial Narrow" w:hAnsi="Arial Narrow" w:eastAsia="Arial Narrow" w:cs="Arial Narrow"/>
          <w:sz w:val="26"/>
          <w:szCs w:val="26"/>
        </w:rPr>
        <w:t xml:space="preserve">500 кВ</w:t>
      </w:r>
      <w:r>
        <w:rPr>
          <w:rFonts w:ascii="Arial Narrow" w:hAnsi="Arial Narrow" w:eastAsia="Arial Narrow" w:cs="Arial Narrow"/>
          <w:sz w:val="26"/>
          <w:szCs w:val="26"/>
        </w:rPr>
        <w:t xml:space="preserve"> в </w:t>
      </w:r>
      <w:r>
        <w:rPr>
          <w:rFonts w:ascii="Arial Narrow" w:hAnsi="Arial Narrow" w:eastAsia="Arial Narrow" w:cs="Arial Narrow"/>
          <w:sz w:val="26"/>
          <w:szCs w:val="26"/>
        </w:rPr>
        <w:t xml:space="preserve">Саратовской области</w:t>
      </w:r>
      <w:r>
        <w:rPr>
          <w:rFonts w:ascii="Arial Narrow" w:hAnsi="Arial Narrow" w:eastAsia="Arial Narrow" w:cs="Arial Narrow"/>
          <w:sz w:val="26"/>
          <w:szCs w:val="26"/>
        </w:rPr>
        <w:t xml:space="preserve">. </w:t>
      </w:r>
      <w:r>
        <w:rPr>
          <w:rFonts w:ascii="Arial Narrow" w:hAnsi="Arial Narrow" w:eastAsia="Arial Narrow" w:cs="Arial Narrow"/>
          <w:sz w:val="26"/>
          <w:szCs w:val="26"/>
        </w:rPr>
        <w:t xml:space="preserve">Благодаря техническому переоснащению энергообъектов повысилась надежность</w:t>
      </w:r>
      <w:r>
        <w:rPr>
          <w:rFonts w:ascii="Arial Narrow" w:hAnsi="Arial Narrow" w:eastAsia="Arial Narrow" w:cs="Arial Narrow"/>
          <w:sz w:val="26"/>
          <w:szCs w:val="26"/>
        </w:rPr>
        <w:t xml:space="preserve"> </w:t>
      </w:r>
      <w:r>
        <w:rPr>
          <w:rFonts w:ascii="Arial Narrow" w:hAnsi="Arial Narrow" w:cs="Arial"/>
          <w:b w:val="0"/>
          <w:bCs w:val="0"/>
          <w:i w:val="0"/>
          <w:sz w:val="26"/>
          <w:szCs w:val="26"/>
          <w:highlight w:val="none"/>
          <w14:ligatures w14:val="none"/>
        </w:rPr>
        <w:t xml:space="preserve">э</w:t>
      </w:r>
      <w:r>
        <w:rPr>
          <w:rFonts w:ascii="Arial Narrow" w:hAnsi="Arial Narrow" w:cs="Arial"/>
          <w:b w:val="0"/>
          <w:bCs w:val="0"/>
          <w:i w:val="0"/>
          <w:sz w:val="26"/>
          <w:szCs w:val="26"/>
          <w:highlight w:val="none"/>
          <w14:ligatures w14:val="none"/>
        </w:rPr>
        <w:t xml:space="preserve">лектроснабжения региона с населением около 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2,4 млн человек, а также устойчивость перетоков мощности в соседние области 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–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</w:rPr>
        <w:t xml:space="preserve">Ульяновскую, Самарскую и Волгоградскую.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Взам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ен устаревшего и выработавшего свой ресурс оборудования на ЛЭП смонтировали 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порядка 4,7 тыс. </w:t>
      </w:r>
      <w:r>
        <w:rPr>
          <w:rFonts w:ascii="Arial Narrow" w:hAnsi="Arial Narrow" w:eastAsia="Arial Narrow" w:cs="Arial Narrow"/>
          <w:bCs/>
          <w:sz w:val="26"/>
          <w:szCs w:val="26"/>
        </w:rPr>
        <w:t xml:space="preserve">современных изоляторов российского производства, выполненных из закаленного стекла. </w:t>
      </w:r>
      <w:r>
        <w:rPr>
          <w:rFonts w:ascii="Arial Narrow" w:hAnsi="Arial Narrow" w:eastAsia="Arial Narrow" w:cs="Arial Narrow"/>
          <w:sz w:val="26"/>
          <w:szCs w:val="26"/>
        </w:rPr>
        <w:t xml:space="preserve">Они характеризуются высокой механической прочностью, химической и термической устойчивостью. 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Оборудование необхо</w:t>
      </w:r>
      <w:r>
        <w:rPr>
          <w:rFonts w:ascii="Arial Narrow" w:hAnsi="Arial Narrow" w:eastAsia="Arial Narrow" w:cs="Arial Narrow"/>
          <w:sz w:val="26"/>
          <w:szCs w:val="26"/>
        </w:rPr>
        <w:t xml:space="preserve">димо для создания изоляционных промежутков в местах крепления проводов к опорам ЛЭП. </w:t>
      </w:r>
      <w:r>
        <w:rPr>
          <w:rFonts w:ascii="Arial Narrow" w:hAnsi="Arial Narrow" w:eastAsia="Arial Narrow" w:cs="Arial Narrow"/>
          <w:sz w:val="26"/>
          <w:szCs w:val="26"/>
        </w:rPr>
        <w:t xml:space="preserve">Повреждения устройств могут приводить к технологическим нарушениям, поэтому энергетики проводят регулярные осмотры линий </w:t>
      </w:r>
      <w:r>
        <w:rPr>
          <w:rFonts w:ascii="Arial Narrow" w:hAnsi="Arial Narrow" w:cs="Arial"/>
          <w:b w:val="0"/>
          <w:bCs w:val="0"/>
          <w:i w:val="0"/>
          <w:sz w:val="26"/>
          <w:szCs w:val="26"/>
          <w:highlight w:val="none"/>
          <w14:ligatures w14:val="none"/>
        </w:rPr>
        <w:t xml:space="preserve">электропередачи </w:t>
      </w:r>
      <w:r>
        <w:rPr>
          <w:rFonts w:ascii="Arial Narrow" w:hAnsi="Arial Narrow" w:eastAsia="Arial Narrow" w:cs="Arial Narrow"/>
          <w:sz w:val="26"/>
          <w:szCs w:val="26"/>
        </w:rPr>
        <w:t xml:space="preserve">и своевременно заменяют дефектные изделия.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Всего в рамках ремонтной программы 2025 года специалисты МЭС Волги смонтировали порядка 20 тыс. новых изоляторов на энергообъектах</w:t>
      </w:r>
      <w:r>
        <w:rPr>
          <w:rFonts w:ascii="Arial Narrow" w:hAnsi="Arial Narrow" w:eastAsia="Arial Narrow" w:cs="Arial Narrow"/>
          <w:sz w:val="26"/>
          <w:szCs w:val="26"/>
        </w:rPr>
        <w:t xml:space="preserve"> в</w:t>
      </w:r>
      <w:r>
        <w:rPr>
          <w:rFonts w:ascii="Arial Narrow" w:hAnsi="Arial Narrow" w:eastAsia="Arial Narrow" w:cs="Arial Narrow"/>
          <w:sz w:val="26"/>
          <w:szCs w:val="26"/>
        </w:rPr>
        <w:t xml:space="preserve"> девяти регионах Приволжского федерального округа.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Footer Char"/>
    <w:basedOn w:val="682"/>
    <w:link w:val="706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Название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82"/>
    <w:link w:val="706"/>
    <w:uiPriority w:val="99"/>
  </w:style>
  <w:style w:type="paragraph" w:styleId="708">
    <w:name w:val="Caption"/>
    <w:basedOn w:val="672"/>
    <w:next w:val="672"/>
    <w:link w:val="709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азвание объекта Знак"/>
    <w:basedOn w:val="682"/>
    <w:link w:val="708"/>
    <w:uiPriority w:val="35"/>
    <w:rPr>
      <w:b/>
      <w:bCs/>
      <w:color w:val="4472c4" w:themeColor="accent1"/>
      <w:sz w:val="18"/>
      <w:szCs w:val="18"/>
    </w:rPr>
  </w:style>
  <w:style w:type="table" w:styleId="710" w:customStyle="1">
    <w:name w:val="Table Grid Light"/>
    <w:basedOn w:val="68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8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8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8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3"/>
    <w:uiPriority w:val="99"/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3"/>
    <w:uiPriority w:val="99"/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3"/>
    <w:uiPriority w:val="99"/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3"/>
    <w:uiPriority w:val="99"/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8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8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Balloon Text"/>
    <w:basedOn w:val="672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8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5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Panina-DD</cp:lastModifiedBy>
  <cp:revision>5</cp:revision>
  <dcterms:created xsi:type="dcterms:W3CDTF">2025-12-25T09:38:00Z</dcterms:created>
  <dcterms:modified xsi:type="dcterms:W3CDTF">2026-01-12T11:54:27Z</dcterms:modified>
</cp:coreProperties>
</file>