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38"/>
          <w:szCs w:val="38"/>
          <w:highlight w:val="white"/>
          <w:rtl w:val="0"/>
        </w:rPr>
        <w:t xml:space="preserve">Реакция на всплеск вирусных заболеваний: как выросли продажи лекарств в декабре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Данные маркетплейса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«Ютека»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за декабрь 2025 года показали взрывной рост спроса на товары для борьбы с вирусными инфекциями. Рост продаж совпал по времени с пиком сезона, в котором, согласно данным Роспотребнадзора и сообщениям СМИ, активно циркулировал штамм гриппа A(H3N2), также известный как гонконгский грипп.</w:t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sz w:val="28"/>
          <w:szCs w:val="28"/>
          <w:highlight w:val="white"/>
          <w:rtl w:val="0"/>
        </w:rPr>
        <w:t xml:space="preserve">Фокус на вирусы: диагностика и целевые препараты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 декабре по сравнению с ноябрем спрос на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противовирусные препараты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вырос в 2.5 раза (+156%). Этот рост значительно превышает показатели прошлого года: в декабре 2024-го прирост продаж противовирусных лекарств к ноябрю составлял 18%.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Помимо этого,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зафиксирован рекордный спрос на средства диагностики: продажи тестов </w:t>
      </w: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на грипп и COVID-19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в декабре увеличились в 6.5 раз (+554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%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 по сравнению с ноябрем. В декабре 2024 года аналогичный прирост был на порядок ниже — всего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14%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Дополнительным фактором роста могли стать закупки впрок: покупатели стремились сформировать запас лекарств в декабре в ожидании роста цен в новом году.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rPr>
          <w:b w:val="1"/>
          <w:bCs w:val="1"/>
          <w:color w:val="0f1115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0f1115"/>
          <w:sz w:val="28"/>
          <w:szCs w:val="28"/>
          <w:highlight w:val="white"/>
          <w:rtl w:val="0"/>
        </w:rPr>
        <w:t xml:space="preserve">Что еще оказалось в корзине 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rPr>
          <w:color w:val="0f1115"/>
          <w:sz w:val="24"/>
          <w:szCs w:val="24"/>
          <w:highlight w:val="white"/>
        </w:rPr>
      </w:pP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Также в декабре 2025 значительно выросло количество реализованных  сопутствующих товаров: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24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Термометры: +63%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(декабрь 2024 к ноябрю: +22%)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color w:val="0f1115"/>
          <w:sz w:val="24"/>
          <w:szCs w:val="24"/>
          <w:highlight w:val="white"/>
        </w:rPr>
      </w:pP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Лекарства от простуды и гриппа: +49%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(декабрь 2024 к ноябрю: +16%)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Средства для иммунитета: +32%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(декабрь 2024 к ноябрю: +10%)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240" w:before="0" w:beforeAutospacing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БАДы в сезон простуд: +32%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(декабрь 2024 к ноябрю: +2%)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Параллельно с противовирусными средствами на 29% увеличились продажи антибиотиков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хотя их роль в лечении вирусных инфекций ограничена. Данные препараты эффективны только против бактериальных осложнений и должны применяться по назначению врача.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6" w:lineRule="auto"/>
        <w:rPr>
          <w:b w:val="1"/>
          <w:bCs w:val="1"/>
          <w:color w:val="0f1115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0f1115"/>
          <w:sz w:val="28"/>
          <w:szCs w:val="28"/>
          <w:highlight w:val="white"/>
          <w:rtl w:val="0"/>
        </w:rPr>
        <w:t xml:space="preserve">Как защититься в сезон гриппа?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afterAutospacing="0" w:before="24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f1115"/>
          <w:sz w:val="24"/>
          <w:szCs w:val="24"/>
          <w:highlight w:val="white"/>
          <w:rtl w:val="0"/>
        </w:rPr>
        <w:t xml:space="preserve">Вакцинация </w:t>
      </w: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— самый эффективный способ предотвратить грипп или уменьшить тяжесть течения болезни.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f1115"/>
          <w:sz w:val="24"/>
          <w:szCs w:val="24"/>
          <w:highlight w:val="white"/>
          <w:rtl w:val="0"/>
        </w:rPr>
        <w:t xml:space="preserve">Гигиена и маски</w:t>
      </w: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 — частое мытье рук, использование санитайзеров и ношение маски в местах скопления людей помогают прервать цепочку передачи вируса.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24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f1115"/>
          <w:sz w:val="24"/>
          <w:szCs w:val="24"/>
          <w:highlight w:val="white"/>
          <w:rtl w:val="0"/>
        </w:rPr>
        <w:t xml:space="preserve">Здоровые привычки</w:t>
      </w: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 — полноценный сон, сбалансированное питание, физическая активность и управление стрессом поддерживают естественную защиту организма.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teka.ru/" TargetMode="External"/><Relationship Id="rId7" Type="http://schemas.openxmlformats.org/officeDocument/2006/relationships/hyperlink" Target="https://uteka.ru/catalog/lekarstvennye-sredstva/protivovirusnye-preparaty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