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484CC4" w:rsidRDefault="00000000">
      <w:pPr>
        <w:spacing w:before="240"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Демо День Первого Юниорного Акселератора: как рынок начал говорить на одном языке</w:t>
      </w:r>
    </w:p>
    <w:p w14:paraId="00000002" w14:textId="77777777" w:rsidR="00484CC4" w:rsidRDefault="00000000">
      <w:pPr>
        <w:spacing w:before="240" w:after="240"/>
      </w:pPr>
      <w:r>
        <w:t>22 января в Москве прошёл Демо День Первого Юниорного Акселератора — без ложной скромности историческое событие, которое для российской геологоразведки стало началом нового этапа развития рынка — юниорные проекты впервые вышли в публичный профессиональный диалог с инвесторами и добывающими компаниями.</w:t>
      </w:r>
    </w:p>
    <w:p w14:paraId="00000003" w14:textId="77777777" w:rsidR="00484CC4" w:rsidRDefault="00000000">
      <w:pPr>
        <w:spacing w:before="240" w:after="240"/>
      </w:pPr>
      <w:r>
        <w:t>Для отрасли, где ранняя геологоразведка долгое время оставалась вне системного инвестиционного поля, сам факт такого диалога имеет принципиальное значение. Инвестиции в проекты ранних стадий традиционно считались «серой зоной»: такие активы было сложно переложить в параметры, понятные и привычные для инвесторов. До этого события юниоры как бы находились «между разными мирами»: с одной стороны — геология и полевая работа, с другой — инвестиционный рынок с его требованиями к структуре, рискам и логике развития активов. Демо День показал, что этот разрыв можно сокращать системно.</w:t>
      </w:r>
    </w:p>
    <w:p w14:paraId="00000004" w14:textId="77777777" w:rsidR="00484CC4" w:rsidRDefault="00000000">
      <w:pPr>
        <w:spacing w:before="28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От гипотезы — к разговору об инвестициях</w:t>
      </w:r>
    </w:p>
    <w:p w14:paraId="00000005" w14:textId="77777777" w:rsidR="00484CC4" w:rsidRDefault="00000000">
      <w:pPr>
        <w:spacing w:before="240" w:after="240"/>
      </w:pPr>
      <w:r>
        <w:t>К мероприятию команды шли несколько месяцев. В рамках акселератора усилиями команд проекты последовательно дорабатывались — от первичных геологических гипотез до понятных инвестиционных историй. Работа велась и с геологическим обоснованием, и с тем, как проект выглядит со стороны стороннего капитала: структура, этапность, риски, сценарии развития.</w:t>
      </w:r>
    </w:p>
    <w:p w14:paraId="00000006" w14:textId="77777777" w:rsidR="00484CC4" w:rsidRDefault="00000000">
      <w:pPr>
        <w:spacing w:before="240" w:after="240"/>
      </w:pPr>
      <w:r>
        <w:t>На Демо Дне были представлены четыре проекта первого потока — «Лекын Тальбейский медный кластер», «Нияюская площадь», «Шермен» и «Верхняя Колпинская площадь». Их презентации стали итогом акселерационного этапа и одновременно переходом к следующей фазе развития этих проектов — обсуждению возможных инвестиций и партнёрств.</w:t>
      </w:r>
    </w:p>
    <w:p w14:paraId="00000007" w14:textId="36D8B2DF" w:rsidR="00484CC4" w:rsidRPr="00D34A08" w:rsidRDefault="00D34A08">
      <w:pPr>
        <w:spacing w:before="280" w:after="240"/>
        <w:rPr>
          <w:b/>
          <w:bCs/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Участники</w:t>
      </w:r>
    </w:p>
    <w:p w14:paraId="00000008" w14:textId="5E097BC2" w:rsidR="00484CC4" w:rsidRDefault="00000000">
      <w:pPr>
        <w:spacing w:before="240" w:after="240"/>
      </w:pPr>
      <w:r>
        <w:t xml:space="preserve">В мероприятии приняли участие более 130 человек — представители крупных горнодобывающих компаний, среди которых Норникель, Полюс, Ареал, УГМК, Полиметалл, ЮГК, NordGold, Мангазея, GV Gold (Высочайший), а также представители финансовых организаций и частных инвесторов, в т.ч. </w:t>
      </w:r>
      <w:r w:rsidR="00376A11">
        <w:rPr>
          <w:lang w:val="ru-RU"/>
        </w:rPr>
        <w:t xml:space="preserve">«Группа </w:t>
      </w:r>
      <w:r>
        <w:t>1147</w:t>
      </w:r>
      <w:r w:rsidR="00376A11">
        <w:rPr>
          <w:lang w:val="ru-RU"/>
        </w:rPr>
        <w:t>»</w:t>
      </w:r>
      <w:r>
        <w:t>, Kama Flow, ВИМ и ряда семейных офисов (family office).</w:t>
      </w:r>
    </w:p>
    <w:p w14:paraId="00000009" w14:textId="77777777" w:rsidR="00484CC4" w:rsidRDefault="00000000">
      <w:pPr>
        <w:spacing w:before="240" w:after="240"/>
      </w:pPr>
      <w:r>
        <w:t>Для рынка это редкая конфигурация — когда юниоры, стратегические игроки и финансовые инвесторы находятся в одном пространстве и ведут разговор на одном языке: через гипотезы, параметры и прогнозируемые сценарии.</w:t>
      </w:r>
    </w:p>
    <w:p w14:paraId="0000000A" w14:textId="77777777" w:rsidR="00484CC4" w:rsidRDefault="00000000">
      <w:pPr>
        <w:spacing w:before="240" w:after="240"/>
      </w:pPr>
      <w:r>
        <w:t>Представитель финансового сектора Александр Семашко отметил:</w:t>
      </w:r>
    </w:p>
    <w:p w14:paraId="0000000B" w14:textId="77777777" w:rsidR="00484CC4" w:rsidRDefault="00000000">
      <w:pPr>
        <w:spacing w:before="240" w:after="240"/>
        <w:ind w:left="600" w:right="600"/>
      </w:pPr>
      <w:r>
        <w:t>«</w:t>
      </w:r>
      <w:r>
        <w:rPr>
          <w:i/>
          <w:iCs/>
        </w:rPr>
        <w:t xml:space="preserve">Считаю Первый Юниорный акселератор и, в частности, Демо День большим шагом для юниорных компаний к диалогу с финансовыми инвесторами. Проекты впервые оказались рядом друг с другом, и присутствующие смогли увидеть, что </w:t>
      </w:r>
      <w:r>
        <w:rPr>
          <w:i/>
          <w:iCs/>
        </w:rPr>
        <w:lastRenderedPageBreak/>
        <w:t>представляет собой юниорный сектор в целом — оценить выбор и географию проектов. Кроме того, команды говорили, насколько это возможно, на языке, уже понятном инвестору</w:t>
      </w:r>
      <w:r>
        <w:t>».</w:t>
      </w:r>
    </w:p>
    <w:p w14:paraId="0000000C" w14:textId="77777777" w:rsidR="00484CC4" w:rsidRDefault="00000000">
      <w:pPr>
        <w:spacing w:before="240" w:after="240"/>
      </w:pPr>
      <w:r>
        <w:t>Важно, что формат не ограничился сценой и презентациями. Существенную роль сыграл неформальный нетворкинг — возможность спокойно обсудить проекты, задать уточняющие вопросы и нащупать точки интереса без давления и формальных рамок. По отзывам участников, именно эта часть стала одной из самых практичных.</w:t>
      </w:r>
    </w:p>
    <w:p w14:paraId="0000000D" w14:textId="77777777" w:rsidR="00484CC4" w:rsidRDefault="00000000">
      <w:pPr>
        <w:spacing w:before="28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Почему это важно именно сейчас</w:t>
      </w:r>
    </w:p>
    <w:p w14:paraId="0000000E" w14:textId="77777777" w:rsidR="00484CC4" w:rsidRDefault="00000000">
      <w:pPr>
        <w:spacing w:before="240" w:after="240"/>
      </w:pPr>
      <w:r>
        <w:t>Российский рынок геологоразведки входит в фазу, когда без системной работы с ранними стадиями дальнейшее развитие становится затруднительным. Крупным игрокам нужны подготовленные проекты с подтверждёнными перспективами, а юниорам — понятный путь к реализации своих проектов, обусловленный инвестициями и партнёрствами уже на старте. Демо День стал редким примером выстраивания такого «интерфейса» не ситуативно, а в виде воспроизводимой модели взаимодействия и общего языка.</w:t>
      </w:r>
    </w:p>
    <w:p w14:paraId="0000000F" w14:textId="77777777" w:rsidR="00484CC4" w:rsidRDefault="00000000">
      <w:pPr>
        <w:spacing w:before="240" w:after="240"/>
      </w:pPr>
      <w:r>
        <w:t>Инвестиционный директор группы 1147 Андрей Швецов отметил структурированность и проработку проектов, что остаётся редкостью для столь ранних стадий:</w:t>
      </w:r>
    </w:p>
    <w:p w14:paraId="00000010" w14:textId="77777777" w:rsidR="00484CC4" w:rsidRDefault="00000000">
      <w:pPr>
        <w:spacing w:before="240" w:after="240"/>
        <w:ind w:left="600" w:right="600"/>
      </w:pPr>
      <w:r>
        <w:t>«</w:t>
      </w:r>
      <w:r>
        <w:rPr>
          <w:i/>
          <w:iCs/>
        </w:rPr>
        <w:t>Хочу выразить признательность организаторам за приглашение на Демо День первого выпуска. Видна огромная работа, проделанная командами проектов и экспертами-наставниками.</w:t>
      </w:r>
      <w:r>
        <w:rPr>
          <w:i/>
          <w:iCs/>
        </w:rPr>
        <w:br/>
        <w:t xml:space="preserve"> Представленные проекты отличались высокой степенью проработанности: участникам были показаны структурированные инвестиционные предложения с учётом геологических аспектов, будущих финансовых и операционных показателей.</w:t>
      </w:r>
      <w:r>
        <w:rPr>
          <w:i/>
          <w:iCs/>
        </w:rPr>
        <w:br/>
        <w:t xml:space="preserve"> Присутствие ведущих металлургических и горнодобывающих компаний создало уникальную среду для диалога между перспективными проектами и потенциальными стратегическими партнёрами. Такой формат полезен и необходим для формирования устойчивой экосистемы в отрасли</w:t>
      </w:r>
      <w:r>
        <w:t>».</w:t>
      </w:r>
    </w:p>
    <w:p w14:paraId="00000011" w14:textId="77777777" w:rsidR="00484CC4" w:rsidRDefault="00000000">
      <w:pPr>
        <w:spacing w:before="240" w:after="240"/>
      </w:pPr>
      <w:r>
        <w:t>Похожую оценку дал Алексей Михайлович Буше, руководитель проектов развития минерально-сырьевой базы ГРК «Быстринское»:</w:t>
      </w:r>
    </w:p>
    <w:p w14:paraId="00000012" w14:textId="77777777" w:rsidR="00484CC4" w:rsidRDefault="00000000">
      <w:pPr>
        <w:spacing w:before="240" w:after="240"/>
        <w:ind w:left="600" w:right="600"/>
        <w:rPr>
          <w:i/>
          <w:iCs/>
        </w:rPr>
      </w:pPr>
      <w:r>
        <w:rPr>
          <w:i/>
          <w:iCs/>
        </w:rPr>
        <w:t>«Ценность акселератора в том, что здесь наконец появился нормальный интерфейс между юниором и мейджором. Проекты говорят с инвесторами на одном языке: логика, структура, акценты — всё выстроено так, как мейджоры привыкли видеть уже на этапе первичного отбора, до due diligence. Это экономит время и сразу переводит разговор в профессиональную плоскость».</w:t>
      </w:r>
    </w:p>
    <w:p w14:paraId="00000013" w14:textId="77777777" w:rsidR="00484CC4" w:rsidRDefault="00000000">
      <w:pPr>
        <w:spacing w:before="28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Не финал, а начало следующего этапа</w:t>
      </w:r>
    </w:p>
    <w:p w14:paraId="00000014" w14:textId="77777777" w:rsidR="00484CC4" w:rsidRDefault="00000000">
      <w:pPr>
        <w:spacing w:before="240" w:after="240"/>
      </w:pPr>
      <w:r>
        <w:t>Таким образом, Демо День стал не точкой завершения, а переходом к следующему этапу работы проектов — привлечению капитала, детализации смет геологоразведочных работ и подготовке к полевому сезону.</w:t>
      </w:r>
    </w:p>
    <w:p w14:paraId="00000015" w14:textId="77777777" w:rsidR="00484CC4" w:rsidRPr="00D34A08" w:rsidRDefault="00000000">
      <w:pPr>
        <w:spacing w:before="240" w:after="240"/>
        <w:rPr>
          <w:lang w:val="ru-RU"/>
        </w:rPr>
      </w:pPr>
      <w:r>
        <w:lastRenderedPageBreak/>
        <w:t>Для рынка в целом это обозначило появление устойчивого институционального формата работы с юниорными проектами ранних стадий в российской геологоразведке. Для отрасли — сигнал о формировании новых рабочих практик. Для команд - выпускников — высокий шанс найти эффективного партнёра для реализации своих амбиций.</w:t>
      </w:r>
    </w:p>
    <w:p w14:paraId="6382C9C8" w14:textId="742138FA" w:rsidR="00704B49" w:rsidRPr="00704B49" w:rsidRDefault="00704B49">
      <w:pPr>
        <w:spacing w:before="240" w:after="240"/>
        <w:rPr>
          <w:lang w:val="ru-RU"/>
        </w:rPr>
      </w:pPr>
      <w:r>
        <w:rPr>
          <w:lang w:val="ru-RU"/>
        </w:rPr>
        <w:t>Подробности о том,</w:t>
      </w:r>
      <w:r w:rsidRPr="00704B49">
        <w:rPr>
          <w:lang w:val="ru-RU"/>
        </w:rPr>
        <w:t xml:space="preserve"> </w:t>
      </w:r>
      <w:r>
        <w:rPr>
          <w:lang w:val="ru-RU"/>
        </w:rPr>
        <w:t>как это было</w:t>
      </w:r>
      <w:r w:rsidRPr="00704B49">
        <w:rPr>
          <w:lang w:val="ru-RU"/>
        </w:rPr>
        <w:t>,</w:t>
      </w:r>
      <w:r>
        <w:rPr>
          <w:lang w:val="ru-RU"/>
        </w:rPr>
        <w:t xml:space="preserve"> смотрите в телеграмм-канале Первого Юниорного</w:t>
      </w:r>
      <w:r w:rsidRPr="00704B49">
        <w:rPr>
          <w:lang w:val="ru-RU"/>
        </w:rPr>
        <w:t xml:space="preserve">: </w:t>
      </w:r>
      <w:r>
        <w:rPr>
          <w:lang w:val="ru-RU"/>
        </w:rPr>
        <w:t xml:space="preserve"> </w:t>
      </w:r>
      <w:r>
        <w:rPr>
          <w:rFonts w:ascii="Helvetica Neue" w:hAnsi="Helvetica Neue" w:cs="Helvetica Neue"/>
          <w:color w:val="1F6BC0"/>
          <w:sz w:val="26"/>
          <w:szCs w:val="26"/>
        </w:rPr>
        <w:t>t.me/GeoJuniorAccel</w:t>
      </w:r>
    </w:p>
    <w:p w14:paraId="00000016" w14:textId="77777777" w:rsidR="00484CC4" w:rsidRDefault="00484CC4"/>
    <w:sectPr w:rsidR="00484C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3225A" w14:textId="77777777" w:rsidR="00CA591C" w:rsidRDefault="00CA591C" w:rsidP="00704B49">
      <w:pPr>
        <w:spacing w:line="240" w:lineRule="auto"/>
      </w:pPr>
      <w:r>
        <w:separator/>
      </w:r>
    </w:p>
  </w:endnote>
  <w:endnote w:type="continuationSeparator" w:id="0">
    <w:p w14:paraId="005E920A" w14:textId="77777777" w:rsidR="00CA591C" w:rsidRDefault="00CA591C" w:rsidP="00704B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7FF2753-4A1F-F54E-BFA5-2B16A0DF3558}"/>
    <w:embedBold r:id="rId2" w:fontKey="{F387D2CE-0CE5-0744-A45D-3FB01F26F372}"/>
    <w:embedItalic r:id="rId3" w:fontKey="{D37BD1B4-3AFD-E544-888F-D18FF6AC380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6AFE2743-B5C8-9948-89EC-58478058C0F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B1CF7CCC-C5AC-C842-9295-83651176B15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5F12F85-06A7-BB4C-ACB8-56B589A172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2EE12" w14:textId="77777777" w:rsidR="00704B49" w:rsidRDefault="00704B4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42DBD" w14:textId="77777777" w:rsidR="00704B49" w:rsidRDefault="00704B49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D36C5" w14:textId="77777777" w:rsidR="00704B49" w:rsidRDefault="00704B4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CB901" w14:textId="77777777" w:rsidR="00CA591C" w:rsidRDefault="00CA591C" w:rsidP="00704B49">
      <w:pPr>
        <w:spacing w:line="240" w:lineRule="auto"/>
      </w:pPr>
      <w:r>
        <w:separator/>
      </w:r>
    </w:p>
  </w:footnote>
  <w:footnote w:type="continuationSeparator" w:id="0">
    <w:p w14:paraId="692EC9D9" w14:textId="77777777" w:rsidR="00CA591C" w:rsidRDefault="00CA591C" w:rsidP="00704B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F771D" w14:textId="77777777" w:rsidR="00704B49" w:rsidRDefault="00704B4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6968B" w14:textId="77777777" w:rsidR="00704B49" w:rsidRDefault="00704B4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3E891" w14:textId="77777777" w:rsidR="00704B49" w:rsidRDefault="00704B4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CC4"/>
    <w:rsid w:val="0032054A"/>
    <w:rsid w:val="00376A11"/>
    <w:rsid w:val="00484CC4"/>
    <w:rsid w:val="00704B49"/>
    <w:rsid w:val="00781527"/>
    <w:rsid w:val="00CA591C"/>
    <w:rsid w:val="00D34A08"/>
    <w:rsid w:val="00E53624"/>
    <w:rsid w:val="00E74076"/>
    <w:rsid w:val="00EF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72590C"/>
  <w15:docId w15:val="{FAEA636E-D539-0044-AC84-5EDF6754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704B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B49"/>
  </w:style>
  <w:style w:type="paragraph" w:styleId="a7">
    <w:name w:val="footer"/>
    <w:basedOn w:val="a"/>
    <w:link w:val="a8"/>
    <w:uiPriority w:val="99"/>
    <w:unhideWhenUsed/>
    <w:rsid w:val="00704B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811</Words>
  <Characters>4623</Characters>
  <Application>Microsoft Office Word</Application>
  <DocSecurity>0</DocSecurity>
  <Lines>38</Lines>
  <Paragraphs>10</Paragraphs>
  <ScaleCrop>false</ScaleCrop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Яна Яна</cp:lastModifiedBy>
  <cp:revision>4</cp:revision>
  <dcterms:created xsi:type="dcterms:W3CDTF">2026-01-27T09:48:00Z</dcterms:created>
  <dcterms:modified xsi:type="dcterms:W3CDTF">2026-01-30T06:26:00Z</dcterms:modified>
</cp:coreProperties>
</file>