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xwkz61kf38z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Cloud4Y объявила о запуске облачного сегмента на новых процессорах AMD EPYC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Компания Cloud4Y объявила о запуске нового облачного сегмента для высоконагруженных проектов на базе </w:t>
      </w:r>
      <w:r w:rsidDel="00000000" w:rsidR="00000000" w:rsidRPr="00000000">
        <w:rPr>
          <w:b w:val="1"/>
          <w:bCs w:val="1"/>
          <w:rtl w:val="0"/>
        </w:rPr>
        <w:t xml:space="preserve">процессоров AMD EPYC 9275F</w:t>
      </w:r>
      <w:r w:rsidDel="00000000" w:rsidR="00000000" w:rsidRPr="00000000">
        <w:rPr>
          <w:rtl w:val="0"/>
        </w:rPr>
        <w:t xml:space="preserve">. Решение соответствует требованиям федерального закона № 152-ФЗ и обеспечивает высокий уровень производительности в рамках действующих регуляторных требований.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Новый сегмент ориентирован на ресурсоёмкие задачи, включая аналитические системы, высоконагруженные базы данных, проекты в области искусственного интеллекта и обработки больших данных. Использование процессоров последнего поколения позволяет повысить производительность вычислений и более эффективно использовать ресурсы при работе с критически важными приложениями.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словам представителей Cloud4Y, запуск новой аппаратной платформы расширяет возможности заказчиков, которым требуется сочетание современных вычислительных мощностей и соответствия российскому законодательству. Решение подходит для компаний, работающих с чувствительными данными и предъявляющих повышенные требования к надёжности и масштабируемости ИТ-систем.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sz w:val="23"/>
          <w:szCs w:val="23"/>
          <w:rtl w:val="0"/>
        </w:rPr>
        <w:t xml:space="preserve">Платформа уже готова к развёртыванию клиентских проектов и доступна для тестирования.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Справка о компании</w:t>
        <w:br w:type="textWrapping"/>
      </w:r>
      <w:r w:rsidDel="00000000" w:rsidR="00000000" w:rsidRPr="00000000">
        <w:rPr>
          <w:rtl w:val="0"/>
        </w:rPr>
        <w:t xml:space="preserve">Cloud4Y — российский провайдер облачной инфраструктуры и сервисов, специализирующийся на решениях для бизнеса, в том числе для проектов с повышенными требованиями к безопасности, надёжности и соответствию требованиям законодательства РФ.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