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055" w:rsidRPr="00D50055" w:rsidRDefault="00D50055" w:rsidP="00D50055">
      <w:pPr>
        <w:spacing w:after="0"/>
        <w:ind w:firstLine="709"/>
        <w:jc w:val="center"/>
        <w:rPr>
          <w:b/>
          <w:bCs/>
        </w:rPr>
      </w:pPr>
      <w:r w:rsidRPr="00D50055">
        <w:rPr>
          <w:b/>
          <w:bCs/>
        </w:rPr>
        <w:t>Анализ российского рынка собственных торговых марок: итоги 2025 г., прогноз до 2030 г.</w:t>
      </w:r>
    </w:p>
    <w:p w:rsidR="00D50055" w:rsidRDefault="00D50055" w:rsidP="00D50055">
      <w:pPr>
        <w:spacing w:after="0"/>
        <w:ind w:firstLine="709"/>
        <w:jc w:val="both"/>
      </w:pPr>
    </w:p>
    <w:p w:rsidR="00D50055" w:rsidRPr="00D50055" w:rsidRDefault="00D50055" w:rsidP="00D50055">
      <w:pPr>
        <w:spacing w:after="0"/>
        <w:ind w:firstLine="709"/>
        <w:jc w:val="both"/>
        <w:rPr>
          <w:b/>
          <w:bCs/>
          <w:i/>
          <w:iCs/>
        </w:rPr>
      </w:pPr>
      <w:r w:rsidRPr="00D50055">
        <w:rPr>
          <w:b/>
          <w:bCs/>
          <w:i/>
          <w:iCs/>
        </w:rPr>
        <w:t>В мае 2025 года исследовательская компания NeoAnalytics завершила проведение маркетингового исследования российского рынка собственных торговых марок.</w:t>
      </w:r>
    </w:p>
    <w:p w:rsidR="00D50055" w:rsidRDefault="00D50055" w:rsidP="00D50055">
      <w:pPr>
        <w:spacing w:after="0"/>
        <w:ind w:firstLine="709"/>
        <w:jc w:val="both"/>
      </w:pPr>
      <w:r>
        <w:t xml:space="preserve"> </w:t>
      </w:r>
    </w:p>
    <w:p w:rsidR="00D50055" w:rsidRDefault="00D50055" w:rsidP="00D50055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собственных торговых марок: итоги 2025 г., прогноз до 2030 г.», выяснилось, что сегодня динамика роста рынка собственных торговых марок (СТМ) опережает рост рынка FMCG и динамику оборота розничной торговли, но при этом уступает динамике интернет-торговли. 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>В условиях высокой емкости российского рынка ритейла, крупнейшие игроки становятся заинтересованными в диверсификации источников доходов. Одним из способов диверсификации является создание собственных брендов или собственных торговых марок.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>В целом СТМ в России превращаются из «вторичного сегмента» в отдельную индустрию контрактного производства, аналогичную европейской, но на более ранней стадии развития.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>Товары под СТМ, как правило, дешевле аналогов брендов. Это достигается за счет минимальных расходов на маркетинг и отсутствия посредников, снижения затрат на упаковку.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>По оценке NeoAnalytics, в России меньше выражена ценовая разница между СТМ и брендовыми аналогами, чем, например, в Европе. К примеру, если в России разница составляет до 10-20%, то в европейских странах — это 25-30%.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>Сегодня самая существенная доля продукции под СТМ представлена в дискаунтерах, которая в среднем составляет 55%, и которая за последние шесть лет существенно выросла.</w:t>
      </w:r>
    </w:p>
    <w:p w:rsidR="00D50055" w:rsidRDefault="00D50055" w:rsidP="00D50055">
      <w:pPr>
        <w:spacing w:after="0"/>
        <w:ind w:firstLine="709"/>
        <w:jc w:val="both"/>
      </w:pPr>
    </w:p>
    <w:p w:rsidR="00D50055" w:rsidRDefault="00D50055" w:rsidP="00D50055">
      <w:pPr>
        <w:spacing w:after="0"/>
        <w:ind w:firstLine="709"/>
        <w:jc w:val="both"/>
      </w:pPr>
      <w:r>
        <w:t xml:space="preserve">Для сравнения, еще в 2020 г. она составляла практически в два раза меньше. Ретроспектива показывает, что это самый быстрорастущий формат, в котором представлены собственные торговые марки. Также существенный рост проникновения отмечается и в </w:t>
      </w:r>
      <w:proofErr w:type="spellStart"/>
      <w:r>
        <w:t>online</w:t>
      </w:r>
      <w:proofErr w:type="spellEnd"/>
      <w:r>
        <w:t xml:space="preserve"> продажах продуктов, которые предлагается покупателю на основании алгоритмов. В остальных форматах проникновение растет, но не так динамично, как в дискаунтерах и электронной коммерции.</w:t>
      </w:r>
    </w:p>
    <w:p w:rsidR="00D50055" w:rsidRDefault="00D50055" w:rsidP="00D50055">
      <w:pPr>
        <w:spacing w:after="0"/>
        <w:ind w:firstLine="709"/>
        <w:jc w:val="both"/>
      </w:pPr>
    </w:p>
    <w:p w:rsidR="00F12C76" w:rsidRDefault="00D50055" w:rsidP="00D50055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55"/>
    <w:rsid w:val="002D20C6"/>
    <w:rsid w:val="006C0B77"/>
    <w:rsid w:val="007012BB"/>
    <w:rsid w:val="0079458A"/>
    <w:rsid w:val="008242FF"/>
    <w:rsid w:val="00870751"/>
    <w:rsid w:val="00922C48"/>
    <w:rsid w:val="00B915B7"/>
    <w:rsid w:val="00D500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3807-BEEF-4145-B244-115C488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0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0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0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0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0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0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0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0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0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0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0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0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2026-04-02T12:37:00Z</dcterms:created>
  <dcterms:modified xsi:type="dcterms:W3CDTF">2026-04-02T12:47:00Z</dcterms:modified>
</cp:coreProperties>
</file>