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35AE" w14:textId="331494AE" w:rsidR="00F12C76" w:rsidRPr="004F3747" w:rsidRDefault="00D76104" w:rsidP="004F3747">
      <w:pPr>
        <w:spacing w:after="0"/>
        <w:ind w:firstLine="709"/>
        <w:jc w:val="center"/>
        <w:rPr>
          <w:b/>
          <w:bCs/>
        </w:rPr>
      </w:pPr>
      <w:r w:rsidRPr="004F3747">
        <w:rPr>
          <w:b/>
          <w:bCs/>
        </w:rPr>
        <w:t>Анализ российского рынка букмекерских контор и тотализаторов: итоги 2025 г., прогноз до 2030 г.</w:t>
      </w:r>
    </w:p>
    <w:p w14:paraId="7765960C" w14:textId="77777777" w:rsidR="00D76104" w:rsidRDefault="00D76104" w:rsidP="006C0B77">
      <w:pPr>
        <w:spacing w:after="0"/>
        <w:ind w:firstLine="709"/>
        <w:jc w:val="both"/>
      </w:pPr>
    </w:p>
    <w:p w14:paraId="1D8B8A82" w14:textId="77777777" w:rsidR="004F3747" w:rsidRPr="004F3747" w:rsidRDefault="004F3747" w:rsidP="004F3747">
      <w:pPr>
        <w:spacing w:after="0"/>
        <w:ind w:firstLine="709"/>
        <w:jc w:val="both"/>
        <w:rPr>
          <w:b/>
          <w:bCs/>
          <w:i/>
          <w:iCs/>
        </w:rPr>
      </w:pPr>
      <w:r w:rsidRPr="004F3747">
        <w:rPr>
          <w:b/>
          <w:bCs/>
          <w:i/>
          <w:iCs/>
        </w:rPr>
        <w:t>В марте 2025 года исследовательская компания NeoAnalytics завершила проведение маркетингового исследования российского рынка букмекерских контор и тотализаторов.</w:t>
      </w:r>
    </w:p>
    <w:p w14:paraId="0D4D5234" w14:textId="77777777" w:rsidR="004F3747" w:rsidRDefault="004F3747" w:rsidP="004F3747">
      <w:pPr>
        <w:spacing w:after="0"/>
        <w:ind w:firstLine="709"/>
        <w:jc w:val="both"/>
      </w:pPr>
    </w:p>
    <w:p w14:paraId="6A575879" w14:textId="77777777" w:rsidR="004F3747" w:rsidRDefault="004F3747" w:rsidP="004F3747">
      <w:pPr>
        <w:spacing w:after="0"/>
        <w:ind w:firstLine="709"/>
        <w:jc w:val="both"/>
      </w:pPr>
      <w:r>
        <w:t>В ходе исследования, проведенного NeoAnalytics на тему «Российский рынок букмекерских контор и тотализаторов: итоги 2025 г., прогноз до 2030 г.», выяснилось, что российский рынок букмекерских контор и тотализаторов (</w:t>
      </w:r>
      <w:proofErr w:type="spellStart"/>
      <w:r>
        <w:t>БКиТ</w:t>
      </w:r>
      <w:proofErr w:type="spellEnd"/>
      <w:r>
        <w:t>) в 2025 г. представлял собой один из наиболее масштабных и динамичных сегментов индустрии азартных игр. Несмотря на жесткое государственное регулирование, рынок сохранил высокую инвестиционную привлекательность и устойчивый потребительский спрос.</w:t>
      </w:r>
    </w:p>
    <w:p w14:paraId="33EA1404" w14:textId="77777777" w:rsidR="004F3747" w:rsidRDefault="004F3747" w:rsidP="004F3747">
      <w:pPr>
        <w:spacing w:after="0"/>
        <w:ind w:firstLine="709"/>
        <w:jc w:val="both"/>
      </w:pPr>
    </w:p>
    <w:p w14:paraId="360EB32C" w14:textId="77777777" w:rsidR="004F3747" w:rsidRDefault="004F3747" w:rsidP="004F3747">
      <w:pPr>
        <w:spacing w:after="0"/>
        <w:ind w:firstLine="709"/>
        <w:jc w:val="both"/>
      </w:pPr>
      <w:r>
        <w:t xml:space="preserve">Современный российский рынок </w:t>
      </w:r>
      <w:proofErr w:type="spellStart"/>
      <w:r>
        <w:t>БКиТ</w:t>
      </w:r>
      <w:proofErr w:type="spellEnd"/>
      <w:r>
        <w:t xml:space="preserve"> характеризуется высокой концентрацией. Около 95% выручки приходится на ограниченный круг крупнейших компаний-операторов. </w:t>
      </w:r>
    </w:p>
    <w:p w14:paraId="6CFC7107" w14:textId="77777777" w:rsidR="004F3747" w:rsidRDefault="004F3747" w:rsidP="004F3747">
      <w:pPr>
        <w:spacing w:after="0"/>
        <w:ind w:firstLine="709"/>
        <w:jc w:val="both"/>
      </w:pPr>
    </w:p>
    <w:p w14:paraId="2B8915C7" w14:textId="77777777" w:rsidR="004F3747" w:rsidRDefault="004F3747" w:rsidP="004F3747">
      <w:pPr>
        <w:spacing w:after="0"/>
        <w:ind w:firstLine="709"/>
        <w:jc w:val="both"/>
      </w:pPr>
      <w:r>
        <w:t xml:space="preserve">Сегодня это один из важных рынков России. В частности, по итогам 2025 г. объем выручки операторов букмекерского рынка увеличился на 9,4% относительно аналогичного показателя годом ранее и составил 1,9 трлн. руб. Несмотря на некоторое замедление динамики в 2025 г. рынок за последние три года существенно вырос. Пики прироста пришлись на период 2022-2023 гг. В те годы рынок увеличился на 145,3% - в 2022 г. и на 122,4% - в 2023 г. </w:t>
      </w:r>
    </w:p>
    <w:p w14:paraId="45152D10" w14:textId="77777777" w:rsidR="004F3747" w:rsidRDefault="004F3747" w:rsidP="004F3747">
      <w:pPr>
        <w:spacing w:after="0"/>
        <w:ind w:firstLine="709"/>
        <w:jc w:val="both"/>
      </w:pPr>
    </w:p>
    <w:p w14:paraId="586E9A60" w14:textId="77777777" w:rsidR="004F3747" w:rsidRDefault="004F3747" w:rsidP="004F3747">
      <w:pPr>
        <w:spacing w:after="0"/>
        <w:ind w:firstLine="709"/>
        <w:jc w:val="both"/>
      </w:pPr>
      <w:r>
        <w:t>По сравнению с 2020 г. в 2025 г. рынок вырос в 13,2 раза: с 143 млрд. руб. в 2020 г. до 1890 млрд. руб. в 2025 г.</w:t>
      </w:r>
    </w:p>
    <w:p w14:paraId="26252D5E" w14:textId="77777777" w:rsidR="004F3747" w:rsidRDefault="004F3747" w:rsidP="004F3747">
      <w:pPr>
        <w:spacing w:after="0"/>
        <w:ind w:firstLine="709"/>
        <w:jc w:val="both"/>
      </w:pPr>
    </w:p>
    <w:p w14:paraId="7B4A367A" w14:textId="77777777" w:rsidR="004F3747" w:rsidRDefault="004F3747" w:rsidP="004F3747">
      <w:pPr>
        <w:spacing w:after="0"/>
        <w:ind w:firstLine="709"/>
        <w:jc w:val="both"/>
      </w:pPr>
      <w:r>
        <w:t xml:space="preserve">В ближайшей перспективе российский рынок </w:t>
      </w:r>
      <w:proofErr w:type="spellStart"/>
      <w:r>
        <w:t>БКиТ</w:t>
      </w:r>
      <w:proofErr w:type="spellEnd"/>
      <w:r>
        <w:t xml:space="preserve"> продолжит свою положительную динамику. На данную развлекательную активность всегда присутствует платежеспособный спрос. Но, при этом, прогнозируется, что темпы роста будут умеренными в условиях жесткого государственного регулирования. Резких структурных изменений в формате рынка не ожидается, однако влияние технологических и регуляторных факторов будет усиливаться. Консолидация на рынке со стороны основных участников сохранится и усилится.</w:t>
      </w:r>
    </w:p>
    <w:p w14:paraId="6918E386" w14:textId="77777777" w:rsidR="004F3747" w:rsidRDefault="004F3747" w:rsidP="004F3747">
      <w:pPr>
        <w:spacing w:after="0"/>
        <w:ind w:firstLine="709"/>
        <w:jc w:val="both"/>
      </w:pPr>
    </w:p>
    <w:p w14:paraId="24DE079C" w14:textId="7ADD7999" w:rsidR="004F3747" w:rsidRDefault="004F3747" w:rsidP="004F3747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4F37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04"/>
    <w:rsid w:val="002D20C6"/>
    <w:rsid w:val="004F3747"/>
    <w:rsid w:val="00636DD6"/>
    <w:rsid w:val="006C0B77"/>
    <w:rsid w:val="007012BB"/>
    <w:rsid w:val="008242FF"/>
    <w:rsid w:val="00870751"/>
    <w:rsid w:val="00922C48"/>
    <w:rsid w:val="00B915B7"/>
    <w:rsid w:val="00D7610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1CA8"/>
  <w15:chartTrackingRefBased/>
  <w15:docId w15:val="{5D67937B-6CB0-403B-9546-C70D579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6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1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1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1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1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1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1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1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1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1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61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61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61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61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61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6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1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6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61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6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61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61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61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2026-04-07T08:09:00Z</dcterms:created>
  <dcterms:modified xsi:type="dcterms:W3CDTF">2026-04-07T08:18:00Z</dcterms:modified>
</cp:coreProperties>
</file>