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A1614B" w:rsidTr="00E0773F">
        <w:trPr>
          <w:trHeight w:val="1719"/>
        </w:trPr>
        <w:tc>
          <w:tcPr>
            <w:tcW w:w="7054" w:type="dxa"/>
          </w:tcPr>
          <w:p w:rsidR="00A1614B" w:rsidRDefault="00A1614B" w:rsidP="00E0773F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E6"/>
                <w:sz w:val="24"/>
                <w:szCs w:val="24"/>
                <w:bdr w:val="none" w:sz="0" w:space="0" w:color="auto" w:frame="1"/>
              </w:rPr>
            </w:pPr>
          </w:p>
          <w:p w:rsidR="00A1614B" w:rsidRDefault="00A1614B" w:rsidP="00E0773F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E6"/>
                <w:sz w:val="24"/>
                <w:szCs w:val="24"/>
                <w:bdr w:val="none" w:sz="0" w:space="0" w:color="auto" w:frame="1"/>
              </w:rPr>
            </w:pPr>
          </w:p>
          <w:p w:rsidR="00A1614B" w:rsidRDefault="00A1614B" w:rsidP="00E0773F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E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E6"/>
                <w:sz w:val="24"/>
                <w:szCs w:val="24"/>
                <w:bdr w:val="none" w:sz="0" w:space="0" w:color="auto" w:frame="1"/>
              </w:rPr>
              <w:t xml:space="preserve">ПРЕСС-РЕЛИЗ                                                                            </w:t>
            </w:r>
          </w:p>
          <w:p w:rsidR="00A1614B" w:rsidRDefault="00A1614B" w:rsidP="00E0773F">
            <w:pPr>
              <w:jc w:val="both"/>
              <w:rPr>
                <w:rFonts w:ascii="Times New Roman" w:eastAsia="Arial Unicode MS" w:hAnsi="Times New Roman" w:cs="Times New Roman"/>
                <w:color w:val="0000E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color w:val="0000E6"/>
                <w:sz w:val="24"/>
                <w:szCs w:val="24"/>
                <w:bdr w:val="none" w:sz="0" w:space="0" w:color="auto" w:frame="1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E6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E6"/>
                <w:sz w:val="24"/>
                <w:szCs w:val="24"/>
                <w:bdr w:val="none" w:sz="0" w:space="0" w:color="auto" w:frame="1"/>
              </w:rPr>
              <w:t xml:space="preserve">апреля 2026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1C227" wp14:editId="2B91F9E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30556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CQo+l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eastAsia="Arial Unicode MS" w:hAnsi="Times New Roman" w:cs="Times New Roman"/>
                <w:color w:val="0000E6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517" w:type="dxa"/>
            <w:hideMark/>
          </w:tcPr>
          <w:p w:rsidR="00A1614B" w:rsidRDefault="00A1614B" w:rsidP="00E0773F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1A2C10EC" wp14:editId="2791DB98">
                  <wp:extent cx="900430" cy="900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14B" w:rsidRDefault="00A1614B" w:rsidP="00A1614B">
      <w:pPr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14:ligatures w14:val="standardContextual"/>
        </w:rPr>
      </w:pPr>
    </w:p>
    <w:p w:rsidR="00A1614B" w:rsidRDefault="00A1614B" w:rsidP="00A1614B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14B">
        <w:rPr>
          <w:rFonts w:ascii="Times New Roman" w:hAnsi="Times New Roman" w:cs="Times New Roman"/>
          <w:b/>
          <w:bCs/>
          <w:sz w:val="28"/>
          <w:szCs w:val="28"/>
        </w:rPr>
        <w:t xml:space="preserve">В Челябинскую область поступили уникальные «космические» марки,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1614B">
        <w:rPr>
          <w:rFonts w:ascii="Times New Roman" w:hAnsi="Times New Roman" w:cs="Times New Roman"/>
          <w:b/>
          <w:bCs/>
          <w:sz w:val="28"/>
          <w:szCs w:val="28"/>
        </w:rPr>
        <w:t>а в Музее почтовой связи открылась тематическая выставка</w:t>
      </w:r>
    </w:p>
    <w:p w:rsidR="00A1614B" w:rsidRPr="00FE3253" w:rsidRDefault="00A1614B" w:rsidP="00A1614B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B">
        <w:rPr>
          <w:rFonts w:ascii="Times New Roman" w:hAnsi="Times New Roman" w:cs="Times New Roman"/>
          <w:b/>
          <w:bCs/>
          <w:sz w:val="24"/>
          <w:szCs w:val="24"/>
        </w:rPr>
        <w:t>Почта России в Челябинской области отметила 65-летие первого полёта человека в космос масштабными филателистическими и культурными событиями. В регион поступил ограниченный тираж почтовых марок, посвящённых Всемирной неделе космоса, а в областном центре начала работу уникальная экспозиция.</w:t>
      </w:r>
    </w:p>
    <w:p w:rsidR="00A1614B" w:rsidRPr="00A1614B" w:rsidRDefault="00362A56" w:rsidP="00A1614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регион</w:t>
      </w:r>
      <w:r w:rsidR="00A1614B" w:rsidRPr="00A1614B">
        <w:rPr>
          <w:rFonts w:ascii="Times New Roman" w:hAnsi="Times New Roman" w:cs="Times New Roman"/>
          <w:sz w:val="24"/>
          <w:szCs w:val="24"/>
        </w:rPr>
        <w:t xml:space="preserve"> доставлено 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1614B" w:rsidRPr="00A1614B">
        <w:rPr>
          <w:rFonts w:ascii="Times New Roman" w:hAnsi="Times New Roman" w:cs="Times New Roman"/>
          <w:sz w:val="24"/>
          <w:szCs w:val="24"/>
        </w:rPr>
        <w:t>200 экземпляров с изображением Юрия Гагарина. Выпуск приурочен к юбилею легендарного полёта и неделе космонавтики в России. Номинал марки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 w:rsidR="00A1614B" w:rsidRPr="00A1614B">
        <w:rPr>
          <w:rFonts w:ascii="Times New Roman" w:hAnsi="Times New Roman" w:cs="Times New Roman"/>
          <w:sz w:val="24"/>
          <w:szCs w:val="24"/>
        </w:rPr>
        <w:t>65 рублей, а её общий ти</w:t>
      </w:r>
      <w:r>
        <w:rPr>
          <w:rFonts w:ascii="Times New Roman" w:hAnsi="Times New Roman" w:cs="Times New Roman"/>
          <w:sz w:val="24"/>
          <w:szCs w:val="24"/>
        </w:rPr>
        <w:t>раж по стране составил 168 000</w:t>
      </w:r>
      <w:r w:rsidR="00A1614B" w:rsidRPr="00A1614B">
        <w:rPr>
          <w:rFonts w:ascii="Times New Roman" w:hAnsi="Times New Roman" w:cs="Times New Roman"/>
          <w:sz w:val="24"/>
          <w:szCs w:val="24"/>
        </w:rPr>
        <w:t xml:space="preserve"> штук. На рисунке запечатлён космонавт, смотрящий в иллюминатор на звёздное пространство. Новинки доступны в центральных отделениях Челябинска, Магнитогорска, Златоуста и Кыштыма.</w:t>
      </w:r>
      <w:r w:rsidR="00F63F27">
        <w:rPr>
          <w:rFonts w:ascii="Times New Roman" w:hAnsi="Times New Roman" w:cs="Times New Roman"/>
          <w:sz w:val="24"/>
          <w:szCs w:val="24"/>
        </w:rPr>
        <w:t xml:space="preserve"> Государственные знаки почтовой оплаты в России выпускает АО «Марка» — дочерняя компания Почты.</w:t>
      </w:r>
      <w:bookmarkStart w:id="0" w:name="_GoBack"/>
      <w:bookmarkEnd w:id="0"/>
    </w:p>
    <w:p w:rsidR="00A1614B" w:rsidRPr="00A1614B" w:rsidRDefault="00A1614B" w:rsidP="00A1614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4B">
        <w:rPr>
          <w:rFonts w:ascii="Times New Roman" w:hAnsi="Times New Roman" w:cs="Times New Roman"/>
          <w:sz w:val="24"/>
          <w:szCs w:val="24"/>
        </w:rPr>
        <w:t xml:space="preserve">Накануне </w:t>
      </w:r>
      <w:proofErr w:type="spellStart"/>
      <w:r w:rsidRPr="00A1614B">
        <w:rPr>
          <w:rFonts w:ascii="Times New Roman" w:hAnsi="Times New Roman" w:cs="Times New Roman"/>
          <w:sz w:val="24"/>
          <w:szCs w:val="24"/>
        </w:rPr>
        <w:t>южноуральская</w:t>
      </w:r>
      <w:proofErr w:type="spellEnd"/>
      <w:r w:rsidRPr="00A1614B">
        <w:rPr>
          <w:rFonts w:ascii="Times New Roman" w:hAnsi="Times New Roman" w:cs="Times New Roman"/>
          <w:sz w:val="24"/>
          <w:szCs w:val="24"/>
        </w:rPr>
        <w:t xml:space="preserve"> столица подтвердила статус одного из ключевых «космических» центров страны: здесь, наряду с Москвой, Звёздным городком, Энгельсом и космодромом Байконур, состоялась церемония специального гашения праздничного выпуска. В торжественной процедуре принял участие космонавт Олег Платонов.</w:t>
      </w:r>
    </w:p>
    <w:p w:rsidR="00A1614B" w:rsidRPr="00B053BF" w:rsidRDefault="00362A56" w:rsidP="00A1614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с</w:t>
      </w:r>
      <w:r w:rsidR="00A1614B" w:rsidRPr="00A1614B">
        <w:rPr>
          <w:rFonts w:ascii="Times New Roman" w:hAnsi="Times New Roman" w:cs="Times New Roman"/>
          <w:sz w:val="24"/>
          <w:szCs w:val="24"/>
        </w:rPr>
        <w:t xml:space="preserve"> сегодняшнего дня в Музее почтовой связи начала работать выставка, приуроченная ко Дню космонавтики. В экспозиции можно увидеть необычную коллекцию обёрток от шоколада и конфет Ирины Москвиной — ретроспективу «космического» дизайна советских сладостей. Также в зале выставлены картины художницы Ирины Бердниковой, посвящённые звёздному небу, и архивные материалы из музейных фондов: марки и открытки. Первыми гостями стали студенты аэрокосмического направления </w:t>
      </w:r>
      <w:proofErr w:type="spellStart"/>
      <w:r w:rsidR="00A1614B" w:rsidRPr="00A1614B">
        <w:rPr>
          <w:rFonts w:ascii="Times New Roman" w:hAnsi="Times New Roman" w:cs="Times New Roman"/>
          <w:sz w:val="24"/>
          <w:szCs w:val="24"/>
        </w:rPr>
        <w:t>ЮУрГУ</w:t>
      </w:r>
      <w:proofErr w:type="spellEnd"/>
      <w:r w:rsidR="00A1614B" w:rsidRPr="00A1614B">
        <w:rPr>
          <w:rFonts w:ascii="Times New Roman" w:hAnsi="Times New Roman" w:cs="Times New Roman"/>
          <w:sz w:val="24"/>
          <w:szCs w:val="24"/>
        </w:rPr>
        <w:t>.</w:t>
      </w:r>
    </w:p>
    <w:p w:rsidR="00A1614B" w:rsidRPr="00A7162A" w:rsidRDefault="00A1614B" w:rsidP="00A161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6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</w:t>
      </w:r>
      <w:r w:rsidRPr="00A161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Челябинская область неразрывно связан</w:t>
      </w:r>
      <w:r w:rsidR="00362A5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а с историей освоения космоса — </w:t>
      </w:r>
      <w:r w:rsidRPr="00A161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от производства комплектующих до подготовки кадров. Почта бережно хранит эту память в деталях: в редких марках, архивных письмах и таких душевных экспозициях. Сегодняшняя выставка показывает космонавтику с необычного, "земного" ракурса через частные коллекции и искусство</w:t>
      </w:r>
      <w:r w:rsidR="00F63F2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»</w:t>
      </w:r>
      <w:r w:rsidRPr="00231EB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—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отметил </w:t>
      </w:r>
      <w:r w:rsidR="00301F9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на открытии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директор УФПС Челябинской области</w:t>
      </w:r>
      <w:r w:rsidRPr="00A71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Константин Болдырев</w:t>
      </w:r>
      <w:r w:rsidRPr="00A7162A">
        <w:rPr>
          <w:rFonts w:ascii="Times New Roman" w:hAnsi="Times New Roman" w:cs="Times New Roman"/>
          <w:sz w:val="24"/>
          <w:szCs w:val="24"/>
        </w:rPr>
        <w:t>.</w:t>
      </w:r>
    </w:p>
    <w:p w:rsidR="00A1614B" w:rsidRDefault="00A1614B" w:rsidP="00A161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4B">
        <w:rPr>
          <w:rFonts w:ascii="Times New Roman" w:hAnsi="Times New Roman" w:cs="Times New Roman"/>
          <w:sz w:val="24"/>
          <w:szCs w:val="24"/>
        </w:rPr>
        <w:t>Выставка будет открыта для посетителей до конца месяца.</w:t>
      </w:r>
    </w:p>
    <w:p w:rsidR="00A1614B" w:rsidRPr="00A416D6" w:rsidRDefault="00A1614B" w:rsidP="00A1614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614B" w:rsidRDefault="00A1614B" w:rsidP="00A1614B">
      <w:pPr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</w:pPr>
      <w:proofErr w:type="spellStart"/>
      <w:r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:</w:t>
      </w:r>
    </w:p>
    <w:p w:rsidR="00A1614B" w:rsidRDefault="00A1614B" w:rsidP="00A1614B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lastRenderedPageBreak/>
        <w:t>АО «Почта России»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A1614B" w:rsidRDefault="00A1614B" w:rsidP="00A1614B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1" w:name="_Hlk221110505"/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</w:p>
    <w:bookmarkEnd w:id="1"/>
    <w:p w:rsidR="00A1614B" w:rsidRDefault="00A1614B" w:rsidP="00A1614B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A1614B" w:rsidRPr="000E34A6" w:rsidRDefault="00A1614B" w:rsidP="00A1614B">
      <w:pPr>
        <w:spacing w:before="120" w:after="120" w:line="288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:rsidR="00A1614B" w:rsidRPr="009D5EBA" w:rsidRDefault="00A1614B" w:rsidP="00A1614B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:rsidR="00A1614B" w:rsidRPr="009D5EBA" w:rsidRDefault="00F63F27" w:rsidP="00A1614B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5" w:history="1">
        <w:r w:rsidR="00A1614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A1614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="00A1614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A1614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A1614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sectPr w:rsidR="00A1614B" w:rsidRPr="009D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4B"/>
    <w:rsid w:val="00301F9C"/>
    <w:rsid w:val="00362A56"/>
    <w:rsid w:val="005905F9"/>
    <w:rsid w:val="00A1614B"/>
    <w:rsid w:val="00F6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2A3E"/>
  <w15:chartTrackingRefBased/>
  <w15:docId w15:val="{DF00984B-7AC0-4652-81DE-FFE2B344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1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4</cp:revision>
  <dcterms:created xsi:type="dcterms:W3CDTF">2026-04-10T08:56:00Z</dcterms:created>
  <dcterms:modified xsi:type="dcterms:W3CDTF">2026-04-10T09:21:00Z</dcterms:modified>
</cp:coreProperties>
</file>