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F1BB" w14:textId="062B23D9" w:rsidR="00FC644C" w:rsidRPr="00FC644C" w:rsidRDefault="00FC644C" w:rsidP="00FC644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FC644C">
        <w:rPr>
          <w:rFonts w:ascii="Times New Roman" w:hAnsi="Times New Roman" w:cs="Times New Roman"/>
          <w:color w:val="auto"/>
        </w:rPr>
        <w:t>Анализ экспортных поставок российской продукции в Казахстан: итоги 2025 г., прогноз до 2030 г.</w:t>
      </w:r>
    </w:p>
    <w:p w14:paraId="401E70D2" w14:textId="77777777" w:rsidR="00FC644C" w:rsidRPr="00FC644C" w:rsidRDefault="00FC644C" w:rsidP="00FC644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C644C">
        <w:rPr>
          <w:rFonts w:cs="Times New Roman"/>
          <w:sz w:val="24"/>
          <w:szCs w:val="24"/>
        </w:rPr>
        <w:t xml:space="preserve"> </w:t>
      </w:r>
    </w:p>
    <w:p w14:paraId="6ADAF29E" w14:textId="77777777" w:rsidR="00FC644C" w:rsidRPr="00FC644C" w:rsidRDefault="00FC644C" w:rsidP="00FC644C">
      <w:pPr>
        <w:pStyle w:val="2"/>
        <w:ind w:firstLine="708"/>
        <w:jc w:val="both"/>
        <w:rPr>
          <w:rFonts w:ascii="Times New Roman" w:hAnsi="Times New Roman" w:cs="Times New Roman"/>
          <w:color w:val="auto"/>
        </w:rPr>
      </w:pPr>
      <w:r w:rsidRPr="00FC644C">
        <w:rPr>
          <w:rFonts w:ascii="Times New Roman" w:hAnsi="Times New Roman" w:cs="Times New Roman"/>
          <w:color w:val="auto"/>
        </w:rPr>
        <w:t>В мае 2026 года исследовательская компания NeoAnalytics завершила проведение маркетингового исследования экспортных поставок российской продукции в Казахстан.</w:t>
      </w:r>
    </w:p>
    <w:p w14:paraId="6C9A786E" w14:textId="77777777" w:rsidR="00FC644C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</w:p>
    <w:p w14:paraId="7D0AF67D" w14:textId="77777777" w:rsidR="00FC644C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  <w:r w:rsidRPr="00FC644C">
        <w:rPr>
          <w:sz w:val="24"/>
          <w:szCs w:val="24"/>
        </w:rPr>
        <w:t>В ходе исследования, проведенного NeoAnalytics на тему «Экспорт российской продукции в Казахстан: итоги 2025 г., прогноз до 2030 г.», выяснилось, что экспорт российских товаров в Казахстан в 2020–2025 гг. оставался одним из ключевых направлений внешней торговли России в СНГ и ЕАЭС. После 2022 г. роль Казахстана резко выросла: страна стала не только крупным рынком сбыта российской продукции, но и важным логистическим и транзитным узлом для параллельного импорта и региональной кооперации.</w:t>
      </w:r>
    </w:p>
    <w:p w14:paraId="289F1438" w14:textId="77777777" w:rsidR="00FC644C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</w:p>
    <w:p w14:paraId="79D77717" w14:textId="77777777" w:rsidR="00FC644C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  <w:r w:rsidRPr="00FC644C">
        <w:rPr>
          <w:sz w:val="24"/>
          <w:szCs w:val="24"/>
        </w:rPr>
        <w:t>Сегодня основу поставок формируют товары промышленного и потребительского назначения. В 2025–2026 гг. структура российского экспорта в Казахстан характеризуется высокой диверсификацией и смещением в сторону продукции более высокой переработки. В отличие от экспорта России в дальнее зарубежье, где преобладают сырьевые товары, поставки в Казахстан имеют выраженный промышленный и потребительский характер.</w:t>
      </w:r>
    </w:p>
    <w:p w14:paraId="5A00A9E3" w14:textId="77777777" w:rsidR="00FC644C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</w:p>
    <w:p w14:paraId="66823F1B" w14:textId="77777777" w:rsidR="00FC644C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  <w:r w:rsidRPr="00FC644C">
        <w:rPr>
          <w:sz w:val="24"/>
          <w:szCs w:val="24"/>
        </w:rPr>
        <w:t>Крупнейшим сегментом в общей структуре экспорта российского продукции является продовольствие и сельскохозяйственное сырье, включающие такую продукцию, как зерно, мука, сахар, растительные масла, мясная продукция, молочная продукция и кондитерские изделия.</w:t>
      </w:r>
    </w:p>
    <w:p w14:paraId="2DBBE040" w14:textId="77777777" w:rsidR="00FC644C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</w:p>
    <w:p w14:paraId="1B96D13E" w14:textId="77777777" w:rsidR="00FC644C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  <w:r w:rsidRPr="00FC644C">
        <w:rPr>
          <w:sz w:val="24"/>
          <w:szCs w:val="24"/>
        </w:rPr>
        <w:t>Россия остается крупнейшим поставщиком продовольствия в Казахстан благодаря близкой логистике, ценовой конкурентоспособности, единым стандартам ЕАЭС и высокой интеграции аграрных рынков.</w:t>
      </w:r>
    </w:p>
    <w:p w14:paraId="03E5F0C6" w14:textId="77777777" w:rsidR="00FC644C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</w:p>
    <w:p w14:paraId="275286B7" w14:textId="77777777" w:rsidR="00FC644C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  <w:r w:rsidRPr="00FC644C">
        <w:rPr>
          <w:sz w:val="24"/>
          <w:szCs w:val="24"/>
        </w:rPr>
        <w:t>Основными тенденциями поставок данной продукции в 2025-2026 гг. являлись: рост поставок переработанных продуктов, усиление экспорта FMCG, рост спроса на готовую пищевую продукцию, увеличение доли частных торговых марок (</w:t>
      </w:r>
      <w:proofErr w:type="spellStart"/>
      <w:r w:rsidRPr="00FC644C">
        <w:rPr>
          <w:sz w:val="24"/>
          <w:szCs w:val="24"/>
        </w:rPr>
        <w:t>private</w:t>
      </w:r>
      <w:proofErr w:type="spellEnd"/>
      <w:r w:rsidRPr="00FC644C">
        <w:rPr>
          <w:sz w:val="24"/>
          <w:szCs w:val="24"/>
        </w:rPr>
        <w:t xml:space="preserve"> </w:t>
      </w:r>
      <w:proofErr w:type="spellStart"/>
      <w:r w:rsidRPr="00FC644C">
        <w:rPr>
          <w:sz w:val="24"/>
          <w:szCs w:val="24"/>
        </w:rPr>
        <w:t>label</w:t>
      </w:r>
      <w:proofErr w:type="spellEnd"/>
      <w:r w:rsidRPr="00FC644C">
        <w:rPr>
          <w:sz w:val="24"/>
          <w:szCs w:val="24"/>
        </w:rPr>
        <w:t>) для казахстанских сетей.</w:t>
      </w:r>
    </w:p>
    <w:p w14:paraId="2406E975" w14:textId="77777777" w:rsidR="00FC644C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</w:p>
    <w:p w14:paraId="21E073DC" w14:textId="3836F237" w:rsidR="00F12C76" w:rsidRPr="00FC644C" w:rsidRDefault="00FC644C" w:rsidP="00FC644C">
      <w:pPr>
        <w:spacing w:after="0"/>
        <w:ind w:firstLine="709"/>
        <w:jc w:val="both"/>
        <w:rPr>
          <w:sz w:val="24"/>
          <w:szCs w:val="24"/>
        </w:rPr>
      </w:pPr>
      <w:r w:rsidRPr="00FC644C">
        <w:rPr>
          <w:sz w:val="24"/>
          <w:szCs w:val="24"/>
        </w:rPr>
        <w:t>Более подробно с результатами исследования можно ознакомиться на официальном сайте www.neoanalytics.ru</w:t>
      </w:r>
    </w:p>
    <w:sectPr w:rsidR="00F12C76" w:rsidRPr="00FC64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4C"/>
    <w:rsid w:val="002D20C6"/>
    <w:rsid w:val="006C0B77"/>
    <w:rsid w:val="007012BB"/>
    <w:rsid w:val="008242FF"/>
    <w:rsid w:val="00870751"/>
    <w:rsid w:val="00922C48"/>
    <w:rsid w:val="00B915B7"/>
    <w:rsid w:val="00BE53A0"/>
    <w:rsid w:val="00EA59DF"/>
    <w:rsid w:val="00EE4070"/>
    <w:rsid w:val="00F12C76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B89C"/>
  <w15:chartTrackingRefBased/>
  <w15:docId w15:val="{E5ADB521-5EA1-4C0C-8612-DA5F48CA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6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C6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4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4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4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4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4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4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4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4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C6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4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44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644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644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644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644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644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6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4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44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64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44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4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44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644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 Караулов</dc:creator>
  <cp:keywords/>
  <dc:description/>
  <cp:lastModifiedBy>Андрюша Караулов</cp:lastModifiedBy>
  <cp:revision>1</cp:revision>
  <dcterms:created xsi:type="dcterms:W3CDTF">2026-05-28T09:54:00Z</dcterms:created>
  <dcterms:modified xsi:type="dcterms:W3CDTF">2026-05-28T09:56:00Z</dcterms:modified>
</cp:coreProperties>
</file>