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2CBD" w14:textId="5BDCD031" w:rsidR="007B64F6" w:rsidRPr="007B64F6" w:rsidRDefault="007B64F6" w:rsidP="007B64F6">
      <w:pPr>
        <w:spacing w:after="0"/>
        <w:ind w:firstLine="709"/>
        <w:jc w:val="center"/>
        <w:rPr>
          <w:b/>
          <w:bCs/>
        </w:rPr>
      </w:pPr>
      <w:r w:rsidRPr="007B64F6">
        <w:rPr>
          <w:b/>
          <w:bCs/>
        </w:rPr>
        <w:t>Анализ российского рынка агротуризма: итоги 2025 г., прогноз до 2030 г.</w:t>
      </w:r>
    </w:p>
    <w:p w14:paraId="4C662D12" w14:textId="77777777" w:rsidR="007B64F6" w:rsidRDefault="007B64F6" w:rsidP="007B64F6">
      <w:pPr>
        <w:spacing w:after="0"/>
        <w:ind w:firstLine="709"/>
        <w:jc w:val="both"/>
      </w:pPr>
    </w:p>
    <w:p w14:paraId="06DBE049" w14:textId="77777777" w:rsidR="007B64F6" w:rsidRPr="007B64F6" w:rsidRDefault="007B64F6" w:rsidP="007B64F6">
      <w:pPr>
        <w:spacing w:after="0"/>
        <w:ind w:firstLine="709"/>
        <w:jc w:val="both"/>
        <w:rPr>
          <w:i/>
          <w:iCs/>
        </w:rPr>
      </w:pPr>
      <w:r w:rsidRPr="007B64F6">
        <w:rPr>
          <w:i/>
          <w:iCs/>
        </w:rPr>
        <w:t>В июне 2026 года исследовательская компания NeoAnalytics завершила проведение маркетингового исследования российского рынка агротуризма.</w:t>
      </w:r>
    </w:p>
    <w:p w14:paraId="3C3814B4" w14:textId="77777777" w:rsidR="007B64F6" w:rsidRDefault="007B64F6" w:rsidP="007B64F6">
      <w:pPr>
        <w:spacing w:after="0"/>
        <w:ind w:firstLine="709"/>
        <w:jc w:val="both"/>
      </w:pPr>
      <w:r>
        <w:t xml:space="preserve"> </w:t>
      </w:r>
    </w:p>
    <w:p w14:paraId="4E7F2278" w14:textId="77777777" w:rsidR="007B64F6" w:rsidRDefault="007B64F6" w:rsidP="007B64F6">
      <w:pPr>
        <w:spacing w:after="0"/>
        <w:ind w:firstLine="709"/>
        <w:jc w:val="both"/>
      </w:pPr>
      <w:r>
        <w:t xml:space="preserve">В ходе исследования, проведенного NeoAnalytics на тему «Российский рынок агротуризма: итоги 2025 г., прогноз до 2030 г.», выяснилось, что сегодня агротуризм в России представляет собой одно из наиболее динамично развивающихся направлений внутреннего туризма. По оценке NeoAnalytics, к 2025 г. агротуризм в России перешел из нишевого сегмента в самостоятельное направление туристической индустрии. Но, тем не менее, сегодня именно </w:t>
      </w:r>
      <w:proofErr w:type="spellStart"/>
      <w:r>
        <w:t>нишевость</w:t>
      </w:r>
      <w:proofErr w:type="spellEnd"/>
      <w:r>
        <w:t xml:space="preserve"> рынка определяет структуру в разрезе бизнеса участников рынка.</w:t>
      </w:r>
    </w:p>
    <w:p w14:paraId="7E5A30B4" w14:textId="77777777" w:rsidR="007B64F6" w:rsidRDefault="007B64F6" w:rsidP="007B64F6">
      <w:pPr>
        <w:spacing w:after="0"/>
        <w:ind w:firstLine="709"/>
        <w:jc w:val="both"/>
      </w:pPr>
    </w:p>
    <w:p w14:paraId="650B64CC" w14:textId="77777777" w:rsidR="007B64F6" w:rsidRDefault="007B64F6" w:rsidP="007B64F6">
      <w:pPr>
        <w:spacing w:after="0"/>
        <w:ind w:firstLine="709"/>
        <w:jc w:val="both"/>
      </w:pPr>
      <w:r>
        <w:t>Несмотря на преобладание микропредприятий по числу объектов, их доля в совокупной выручке значительно ниже. Таким образом, около 90% объектов агротуризма относятся к микро- и малому бизнесу, однако они формируют примерно 65–75% денежного оборота сегмента. Микро- и малые предприятия продолжают доминировать благодаря сравнительно низкому порогу входа и государственным грантам на развитие сельского туризма.</w:t>
      </w:r>
    </w:p>
    <w:p w14:paraId="0126C63F" w14:textId="77777777" w:rsidR="007B64F6" w:rsidRDefault="007B64F6" w:rsidP="007B64F6">
      <w:pPr>
        <w:spacing w:after="0"/>
        <w:ind w:firstLine="709"/>
        <w:jc w:val="both"/>
      </w:pPr>
    </w:p>
    <w:p w14:paraId="47901416" w14:textId="77777777" w:rsidR="007B64F6" w:rsidRDefault="007B64F6" w:rsidP="007B64F6">
      <w:pPr>
        <w:spacing w:after="0"/>
        <w:ind w:firstLine="709"/>
        <w:jc w:val="both"/>
      </w:pPr>
      <w:r>
        <w:t>Все больше хозяйств рассматривают агротуризм как инструмент диверсификации доходов, а не как самостоятельный бизнес.</w:t>
      </w:r>
    </w:p>
    <w:p w14:paraId="7D5F687B" w14:textId="77777777" w:rsidR="007B64F6" w:rsidRDefault="007B64F6" w:rsidP="007B64F6">
      <w:pPr>
        <w:spacing w:after="0"/>
        <w:ind w:firstLine="709"/>
        <w:jc w:val="both"/>
      </w:pPr>
    </w:p>
    <w:p w14:paraId="50382FD8" w14:textId="77777777" w:rsidR="007B64F6" w:rsidRDefault="007B64F6" w:rsidP="007B64F6">
      <w:pPr>
        <w:spacing w:after="0"/>
        <w:ind w:firstLine="709"/>
        <w:jc w:val="both"/>
      </w:pPr>
      <w:r>
        <w:t>В сегменте среднего бизнеса наблюдается рост числа проектов, объединяющих производство, переработку, гастрономию и туристические услуги.</w:t>
      </w:r>
    </w:p>
    <w:p w14:paraId="1690405F" w14:textId="77777777" w:rsidR="007B64F6" w:rsidRDefault="007B64F6" w:rsidP="007B64F6">
      <w:pPr>
        <w:spacing w:after="0"/>
        <w:ind w:firstLine="709"/>
        <w:jc w:val="both"/>
      </w:pPr>
    </w:p>
    <w:p w14:paraId="37023A41" w14:textId="77777777" w:rsidR="007B64F6" w:rsidRDefault="007B64F6" w:rsidP="007B64F6">
      <w:pPr>
        <w:spacing w:after="0"/>
        <w:ind w:firstLine="709"/>
        <w:jc w:val="both"/>
      </w:pPr>
      <w:r>
        <w:t>Крупные инвестиционные проекты пока занимают небольшую долю рынка, но обеспечивают наиболее высокий оборот на один объект и становятся точками притяжения для регионального туризма.</w:t>
      </w:r>
    </w:p>
    <w:p w14:paraId="6B819CDD" w14:textId="77777777" w:rsidR="007B64F6" w:rsidRDefault="007B64F6" w:rsidP="007B64F6">
      <w:pPr>
        <w:spacing w:after="0"/>
        <w:ind w:firstLine="709"/>
        <w:jc w:val="both"/>
      </w:pPr>
    </w:p>
    <w:p w14:paraId="666BAE8A" w14:textId="77777777" w:rsidR="007B64F6" w:rsidRDefault="007B64F6" w:rsidP="007B64F6">
      <w:pPr>
        <w:spacing w:after="0"/>
        <w:ind w:firstLine="709"/>
        <w:jc w:val="both"/>
      </w:pPr>
      <w:r>
        <w:t>Такая структура отражает раннюю стадию развития отрасли, где преобладают семейные и фермерские инициативы, а крупные инвестиционные проекты пока остаются единичными.</w:t>
      </w:r>
    </w:p>
    <w:p w14:paraId="4C13BF78" w14:textId="77777777" w:rsidR="007B64F6" w:rsidRDefault="007B64F6" w:rsidP="007B64F6">
      <w:pPr>
        <w:spacing w:after="0"/>
        <w:ind w:firstLine="709"/>
        <w:jc w:val="both"/>
      </w:pPr>
    </w:p>
    <w:p w14:paraId="3C1658C9" w14:textId="2CA5488B" w:rsidR="00F12C76" w:rsidRDefault="007B64F6" w:rsidP="007B64F6">
      <w:pPr>
        <w:spacing w:after="0"/>
        <w:ind w:firstLine="709"/>
        <w:jc w:val="both"/>
      </w:pPr>
      <w:r>
        <w:t>Более подробно с результатами исследования можно ознакомиться на официальном сайте www.neoanalytics.ru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2D20C6"/>
    <w:rsid w:val="004448FD"/>
    <w:rsid w:val="006C0B77"/>
    <w:rsid w:val="007012BB"/>
    <w:rsid w:val="007B64F6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F5ED"/>
  <w15:chartTrackingRefBased/>
  <w15:docId w15:val="{1C242ED0-EBED-4033-B70E-3D684F6A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6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4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4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4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4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4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4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4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4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64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64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64F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B64F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B64F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B64F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B64F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B64F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B64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6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4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6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6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64F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B64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64F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64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64F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B64F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Андрюша Караулов</dc:creator>
  <cp:keywords/>
  <dc:description/>
  <cp:lastModifiedBy>Андрюша Караулов</cp:lastModifiedBy>
  <cp:revision>1</cp:revision>
  <dcterms:created xsi:type="dcterms:W3CDTF">2026-06-17T12:17:00Z</dcterms:created>
  <dcterms:modified xsi:type="dcterms:W3CDTF">2026-06-17T12:18:00Z</dcterms:modified>
</cp:coreProperties>
</file>