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right"/>
        <w:rPr>
          <w:sz w:val="22"/>
          <w:szCs w:val="22"/>
        </w:rPr>
      </w:pPr>
      <w:bookmarkStart w:colFirst="0" w:colLast="0" w:name="_z8k7p96im1zt" w:id="0"/>
      <w:bookmarkEnd w:id="0"/>
      <w:r w:rsidDel="00000000" w:rsidR="00000000" w:rsidRPr="00000000">
        <w:rPr/>
        <w:drawing>
          <wp:inline distB="114300" distT="114300" distL="114300" distR="114300">
            <wp:extent cx="807712" cy="5038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7712" cy="503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sz w:val="22"/>
          <w:szCs w:val="22"/>
        </w:rPr>
      </w:pPr>
      <w:bookmarkStart w:colFirst="0" w:colLast="0" w:name="_jqy0g3p4qhly" w:id="1"/>
      <w:bookmarkEnd w:id="1"/>
      <w:r w:rsidDel="00000000" w:rsidR="00000000" w:rsidRPr="00000000">
        <w:rPr>
          <w:sz w:val="22"/>
          <w:szCs w:val="22"/>
          <w:rtl w:val="0"/>
        </w:rPr>
        <w:t xml:space="preserve">ПРЕСС-РЕЛИЗ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17.06.2026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0" w:lineRule="auto"/>
        <w:rPr/>
      </w:pPr>
      <w:bookmarkStart w:colFirst="0" w:colLast="0" w:name="_x2cqm8v406yd" w:id="2"/>
      <w:bookmarkEnd w:id="2"/>
      <w:r w:rsidDel="00000000" w:rsidR="00000000" w:rsidRPr="00000000">
        <w:rPr>
          <w:rtl w:val="0"/>
        </w:rPr>
        <w:t xml:space="preserve">ИТ-компания «Андагар» стала партнером образовательной платформы в сфере веб-разработки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ИТ-компания «Андагар» объявила о старте партнерства с HTML Academy – одной из ведущих российских образовательных платформ в сфере веб-разработки и подготовки ИТ-специалистов.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В настоящее время стороны работают над совместной образовательной программой, ориентированной на подготовку молодых специалистов и развитие практических навыков, востребованных современной ИТ-индустрией.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Партнерство предполагает объединение экспертизы компании «Андагар» в области разработки и реализации цифровых проектов с образовательными методиками HTML Academy.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В рамках сотрудничества планируется участие специалистов компании в формировании учебных модулей, а также собеседования с успешными выпускниками.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«Сегодня конкуренция за сильных ИТ-специалистов остается высокой, однако мы убеждены, что профессиональные кадры важно не только находить на рынке, но и взращивать самостоятельно.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Поэтому для нас особенно ценно участие в образовательных инициативах, которые помогают будущим разработчикам получить актуальные знания, практический опыт и понимание реальных задач бизнеса», - отметили в ИТ-компании «Андагар».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Совместная программа находится на этапе доработки. Подробности о возможностях для участников будут представлены позже на сайте Академии.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Напомним, ранее компания “Андагар” принимала участие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в качестве жюри</w:t>
        </w:r>
      </w:hyperlink>
      <w:r w:rsidDel="00000000" w:rsidR="00000000" w:rsidRPr="00000000">
        <w:rPr>
          <w:rtl w:val="0"/>
        </w:rPr>
        <w:t xml:space="preserve"> на чемпионате по верстке от академии.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31.2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31.2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"Андагар"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- российская IT-компания, специализирующаяся на разработке цифровых решений, автоматизации процессов и создании высоконагруженных платформ. Компания создает продукты, которые помогают бизнесу расти, оптимизировать операции и повышать эффективность.  </w:t>
      </w:r>
      <w:r w:rsidDel="00000000" w:rsidR="00000000" w:rsidRPr="00000000">
        <w:rPr>
          <w:sz w:val="20"/>
          <w:szCs w:val="20"/>
          <w:rtl w:val="0"/>
        </w:rPr>
        <w:t xml:space="preserve">Отраслевая экспертиза: ТЭК и энергетика, финансы и банки, ритейл, фармацевтика, логистика. За плечами команды более 1 000 проектов различной сложности -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от стартапов до enterprise-решений для крупнейших корпораций России.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31.2" w:lineRule="auto"/>
        <w:rPr>
          <w:color w:val="1155cc"/>
          <w:sz w:val="20"/>
          <w:szCs w:val="20"/>
          <w:highlight w:val="white"/>
          <w:u w:val="single"/>
        </w:rPr>
      </w:pPr>
      <w:hyperlink r:id="rId9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https://andagar.ru/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ndagar.ru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ndagar.ru/tpost/29y3adhs21-komandu-andagar-vklyuchili-v-costav-zhyu" TargetMode="External"/><Relationship Id="rId8" Type="http://schemas.openxmlformats.org/officeDocument/2006/relationships/hyperlink" Target="https://andagar.ru/tpost/29y3adhs21-komandu-andagar-vklyuchili-v-costav-zh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