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eastAsia="Times New Roman"/>
          <w:b/>
          <w:bCs/>
          <w:szCs w:val="28"/>
          <w:lang w:val="ru-RU"/>
        </w:rPr>
      </w:pPr>
      <w:r>
        <w:rPr>
          <w:rFonts w:eastAsia="Times New Roman"/>
          <w:b/>
          <w:bCs/>
          <w:szCs w:val="28"/>
          <w:lang w:val="ru-RU"/>
        </w:rPr>
        <w:t xml:space="preserve">Господдержка 2026: </w:t>
      </w:r>
      <w:r>
        <w:rPr>
          <w:b/>
          <w:bCs/>
          <w:szCs w:val="28"/>
        </w:rPr>
        <w:t xml:space="preserve">представители МКПП</w:t>
      </w:r>
      <w:r>
        <w:rPr>
          <w:b/>
          <w:bCs/>
          <w:szCs w:val="28"/>
          <w:lang w:val="ru-RU"/>
        </w:rPr>
        <w:t xml:space="preserve">, </w:t>
      </w:r>
      <w:r>
        <w:rPr>
          <w:b/>
          <w:bCs/>
          <w:szCs w:val="28"/>
        </w:rPr>
        <w:t xml:space="preserve">МТПП</w:t>
      </w:r>
      <w:r>
        <w:rPr>
          <w:b/>
          <w:bCs/>
          <w:szCs w:val="28"/>
          <w:lang w:val="ru-RU"/>
        </w:rPr>
        <w:t xml:space="preserve"> и ШОСПИ оцен</w:t>
      </w:r>
      <w:r>
        <w:rPr>
          <w:b/>
          <w:bCs/>
          <w:szCs w:val="28"/>
          <w:lang w:val="ru-RU"/>
        </w:rPr>
        <w:t xml:space="preserve">или</w:t>
      </w:r>
      <w:r>
        <w:rPr>
          <w:b/>
          <w:bCs/>
          <w:szCs w:val="28"/>
          <w:lang w:val="ru-RU"/>
        </w:rPr>
        <w:t xml:space="preserve"> шансы роста </w:t>
      </w:r>
      <w:r>
        <w:rPr>
          <w:rFonts w:eastAsia="Times New Roman"/>
          <w:b/>
          <w:bCs/>
          <w:szCs w:val="28"/>
          <w:lang w:val="ru-RU"/>
        </w:rPr>
        <w:t xml:space="preserve">промышленного </w:t>
      </w:r>
      <w:r>
        <w:rPr>
          <w:rFonts w:eastAsia="Times New Roman"/>
          <w:b/>
          <w:bCs/>
          <w:szCs w:val="28"/>
        </w:rPr>
        <w:t xml:space="preserve">МСП</w:t>
      </w:r>
      <w:r>
        <w:rPr>
          <w:rFonts w:eastAsia="Times New Roman"/>
          <w:b/>
          <w:bCs/>
          <w:szCs w:val="28"/>
          <w:lang w:val="ru-RU"/>
        </w:rPr>
        <w:t xml:space="preserve"> во второй половине года  </w:t>
      </w:r>
      <w:r>
        <w:rPr>
          <w:rFonts w:eastAsia="Times New Roman"/>
          <w:b/>
          <w:bCs/>
          <w:szCs w:val="28"/>
        </w:rPr>
        <w:t xml:space="preserve"> </w:t>
      </w:r>
      <w:r>
        <w:rPr>
          <w:rFonts w:eastAsia="Times New Roman"/>
          <w:b/>
          <w:bCs/>
          <w:szCs w:val="28"/>
          <w:lang w:val="ru-RU"/>
        </w:rPr>
      </w:r>
      <w:r>
        <w:rPr>
          <w:rFonts w:eastAsia="Times New Roman"/>
          <w:b/>
          <w:bCs/>
          <w:szCs w:val="28"/>
          <w:lang w:val="ru-RU"/>
        </w:rPr>
      </w:r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r>
        <w:t xml:space="preserve">В Москве состоялось IV заседание Комитета </w:t>
      </w:r>
      <w:r>
        <w:t xml:space="preserve">по промышленной кооперации в малом и среднем предпринимательстве Московской конфедерации промышленников и предпринимателей (МКПП), посвященное вопросам государственной поддержки промышленности в 2026 году. Мероприятие объединило представителей органов влас</w:t>
      </w:r>
      <w:r>
        <w:t xml:space="preserve">ти, институтов развития, банковского сектора, производственных предприятий, отраслевых объединений, экспертного сообщества и деловых организаций для обсуждения актуальных механизмов развития отечественной промышленности в условиях трансформации экономики. </w:t>
      </w:r>
      <w:r/>
    </w:p>
    <w:p>
      <w:r/>
      <w:r/>
    </w:p>
    <w:p>
      <w:pPr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По традиции, в качестве м</w:t>
      </w:r>
      <w:r>
        <w:rPr>
          <w:szCs w:val="28"/>
        </w:rPr>
        <w:t xml:space="preserve">одератор</w:t>
      </w:r>
      <w:r>
        <w:rPr>
          <w:szCs w:val="28"/>
          <w:lang w:val="ru-RU"/>
        </w:rPr>
        <w:t xml:space="preserve">ов выступили:</w:t>
      </w:r>
      <w:r>
        <w:rPr>
          <w:b/>
          <w:bCs/>
          <w:szCs w:val="28"/>
          <w:lang w:val="ru-RU"/>
        </w:rPr>
        <w:t xml:space="preserve"> </w:t>
      </w:r>
      <w:r>
        <w:rPr>
          <w:szCs w:val="28"/>
          <w:lang w:val="ru-RU"/>
        </w:rPr>
        <w:br/>
      </w:r>
      <w:r>
        <w:rPr>
          <w:b/>
          <w:bCs/>
          <w:szCs w:val="28"/>
          <w:lang w:val="ru-RU"/>
        </w:rPr>
        <w:br/>
      </w:r>
      <w:r>
        <w:rPr>
          <w:b/>
          <w:bCs/>
          <w:szCs w:val="28"/>
          <w:lang w:val="ru-RU"/>
        </w:rPr>
        <w:t xml:space="preserve">- </w:t>
      </w:r>
      <w:r>
        <w:rPr>
          <w:b/>
          <w:bCs/>
          <w:szCs w:val="28"/>
        </w:rPr>
        <w:t xml:space="preserve">Рада Горшкова,</w:t>
      </w:r>
      <w:r>
        <w:rPr>
          <w:szCs w:val="28"/>
        </w:rPr>
        <w:t xml:space="preserve"> советник председателя Комитета </w:t>
      </w:r>
      <w:r>
        <w:rPr>
          <w:szCs w:val="28"/>
        </w:rPr>
        <w:t xml:space="preserve">по промышленной кооперации малого и среднего предпринимательства (МСП) при Московской Конфедерации промышленников и предпринимателей (МКПП)</w:t>
      </w:r>
      <w:r/>
      <w:r>
        <w:rPr>
          <w:szCs w:val="28"/>
        </w:rPr>
        <w:t xml:space="preserve">, председатель Общественного Объединения Национальная Экосистема «Синкретика»,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председатель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Комитета по медиакоммуникациям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бизнеса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в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Торгово-промышленной Палате Москвы (МТПП);</w:t>
      </w:r>
      <w:r>
        <w:rPr>
          <w:szCs w:val="28"/>
          <w:lang w:val="ru-RU"/>
        </w:rPr>
        <w:br/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p>
      <w:pPr>
        <w:rPr>
          <w:szCs w:val="28"/>
          <w:lang w:val="ru-RU"/>
        </w:rPr>
      </w:pPr>
      <w:r>
        <w:rPr>
          <w:rFonts w:eastAsia="Carlito"/>
          <w:b/>
          <w:bCs/>
          <w:szCs w:val="28"/>
          <w:lang w:val="ru-RU"/>
        </w:rPr>
        <w:t xml:space="preserve">- </w:t>
      </w:r>
      <w:r>
        <w:rPr>
          <w:rFonts w:eastAsia="Carlito"/>
          <w:b/>
          <w:bCs/>
          <w:szCs w:val="28"/>
        </w:rPr>
        <w:t xml:space="preserve">Александр Гринин, </w:t>
      </w:r>
      <w:r>
        <w:rPr>
          <w:rFonts w:eastAsia="Carlito"/>
          <w:szCs w:val="28"/>
        </w:rPr>
        <w:t xml:space="preserve">председатель </w:t>
      </w:r>
      <w:r>
        <w:rPr>
          <w:szCs w:val="28"/>
        </w:rPr>
        <w:t xml:space="preserve">Комитет по промышленной кооперации малого и среднего предпринимательства (МСП) при Московской Конфедерации промышленников и предпринимателей (МКПП)</w:t>
      </w:r>
      <w:r>
        <w:rPr>
          <w:szCs w:val="28"/>
          <w:lang w:val="ru-RU"/>
        </w:rPr>
        <w:t xml:space="preserve">.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r/>
      <w:r/>
    </w:p>
    <w:p>
      <w:r>
        <w:t xml:space="preserve">Открывая заседание, </w:t>
      </w:r>
      <w:r>
        <w:t xml:space="preserve">Гринин</w:t>
      </w:r>
      <w:r>
        <w:t xml:space="preserve"> подчеркнул, что сегодня государственная поддержка является важным инструментом развития промышленности, однако сама по себе она не способна обеспечить устойчивый рост предприятий без развития производственной кооперации.</w:t>
      </w:r>
      <w:r/>
    </w:p>
    <w:p>
      <w:r/>
      <w:r/>
    </w:p>
    <w:p>
      <w:r>
        <w:t xml:space="preserve">По словам председателя Комитета, сегодня перед профессиональным сообществом стоят четыре ключевые задачи: развитие промышленной кооперации, совершенствование механизмов государственной поддержки, реализация проектов</w:t>
      </w:r>
      <w:r>
        <w:t xml:space="preserve"> в сфере стратегических материалов и расширение международного промышленного сотрудничества с дружественными государствами. Именно эти направления должны стать основой дальнейшей работы Комитета и подготовки предложений для органов государственной власти. </w:t>
      </w:r>
      <w:r/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Александра Гринина</w:t>
      </w:r>
      <w:r>
        <w:rPr>
          <w:b/>
          <w:bCs/>
        </w:rPr>
      </w:r>
      <w:r>
        <w:rPr>
          <w:b/>
          <w:bCs/>
        </w:rPr>
      </w:r>
    </w:p>
    <w:p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Промышленность развивается не только благодаря мерам государственной поддержки. Гла</w:t>
      </w:r>
      <w:r>
        <w:rPr>
          <w:i/>
          <w:iCs/>
        </w:rPr>
        <w:t xml:space="preserve">вным фактором роста остается выстраивание кооперационных цепочек между производителями, поставщиками, разработчиками технологий и конечными заказчиками. Комитет призван стать площадкой, где бизнес сможет совместно находить решения системных проблем отрасли</w:t>
      </w:r>
      <w:r>
        <w:rPr>
          <w:i/>
          <w:iCs/>
          <w:lang w:val="ru-RU"/>
        </w:rPr>
        <w:t xml:space="preserve">. </w:t>
      </w:r>
      <w:r>
        <w:rPr>
          <w:b/>
          <w:bCs/>
          <w:i/>
          <w:iCs/>
        </w:rPr>
        <w:t xml:space="preserve">Получить субсидию и поставить оборудование — это одно. А до этого еще нужно выстроить всю цепочку взаимодействия. Главный двигатель промышленности — это кооперация между производителями, заводами и конечными заказчиками»</w:t>
      </w:r>
      <w:r>
        <w:rPr>
          <w:b/>
          <w:bCs/>
          <w:i/>
          <w:iCs/>
          <w:lang w:val="ru-RU"/>
        </w:rPr>
        <w:t xml:space="preserve">. </w:t>
      </w:r>
      <w:r>
        <w:rPr>
          <w:i/>
          <w:iCs/>
          <w:lang w:val="ru-RU"/>
        </w:rPr>
      </w:r>
      <w:r>
        <w:rPr>
          <w:i/>
          <w:iCs/>
          <w:lang w:val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Продолжая заседание, Рада Горшкова обозначила стратегическую рамку дискуссии, представив экосистемную кооперационную модель развития бизнеса как современный подход к повышению конкурентоспособности предприятий. Она </w:t>
      </w:r>
      <w:r>
        <w:t xml:space="preserve">отметила, что в условиях высокой скорости изменений выигрывают компании, которые умеют выстраивать партнерские связи, интегрироваться в профессиональные сообщества и использовать возможности государства, бизнеса и отраслевых объединений как единую систему.</w:t>
      </w:r>
      <w:r>
        <w:rPr>
          <w:lang w:val="ru-RU"/>
        </w:rPr>
        <w:t xml:space="preserve"> </w:t>
      </w:r>
      <w:r>
        <w:t xml:space="preserve">Особое внимание было уделено деятельности национальной экосистемы «Синкретика», объединяющей более 600 лидеров бизнеса, десятки деловых клубов и отраслевых кластеров. По словам Рады Горшковой, именно такие площадки становятся пространс</w:t>
      </w:r>
      <w:r>
        <w:t xml:space="preserve">твом формирования доверия, обмена ресурсами и реализации совместных инициатив. Также она сообщила, что по итогам предыдущего заседания Комитета подготовленная резолюция уже направлена в Государственную Думу и находится на рассмотрении профильных структур. </w:t>
      </w:r>
      <w:r/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Рады Горшковой</w:t>
      </w:r>
      <w:r>
        <w:rPr>
          <w:b/>
          <w:bCs/>
        </w:rPr>
      </w:r>
      <w:r>
        <w:rPr>
          <w:b/>
          <w:bCs/>
        </w:rPr>
      </w:r>
    </w:p>
    <w:p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Современная промышленность требует перехода</w:t>
      </w:r>
      <w:r>
        <w:rPr>
          <w:i/>
          <w:iCs/>
        </w:rPr>
        <w:t xml:space="preserve"> от модели изолированного предприятия к экосистемному взаимодействию. Государственная поддержка становится максимально эффективной тогда, когда бизнес объединяет компетенции, репутационный капитал, партнерские связи и возможности профессиональных сообществ</w:t>
      </w:r>
      <w:r>
        <w:rPr>
          <w:i/>
          <w:iCs/>
          <w:lang w:val="ru-RU"/>
        </w:rPr>
        <w:t xml:space="preserve">.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Главный враг сегодня — туннельное мышление, когда предприятие видит только свой продукт и игнорирует государство, профессиональные сообщества и партнеров. Будущее принадлежит компаниям, которые становятся центром взаимодействия, а не работают в одиночку»</w:t>
      </w:r>
      <w:r>
        <w:rPr>
          <w:b/>
          <w:bCs/>
          <w:i/>
          <w:iCs/>
          <w:lang w:val="ru-RU"/>
        </w:rPr>
        <w:t xml:space="preserve">.</w:t>
      </w:r>
      <w:r>
        <w:rPr>
          <w:i/>
          <w:iCs/>
          <w:lang w:val="ru-RU"/>
        </w:rPr>
      </w:r>
      <w:r>
        <w:rPr>
          <w:i/>
          <w:iCs/>
          <w:lang w:val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szCs w:val="28"/>
          <w:lang w:val="ru-RU"/>
        </w:rPr>
      </w:pPr>
      <w:r>
        <w:t xml:space="preserve">Первым приглашенным экспертом стала </w:t>
      </w:r>
      <w:r>
        <w:rPr>
          <w:b/>
          <w:bCs/>
        </w:rPr>
        <w:t xml:space="preserve">Светлана Ключкина</w:t>
      </w:r>
      <w:r>
        <w:t xml:space="preserve">, </w:t>
      </w:r>
      <w:r>
        <w:rPr>
          <w:szCs w:val="28"/>
          <w:lang w:val="ru-RU"/>
        </w:rPr>
        <w:t xml:space="preserve">з</w:t>
      </w:r>
      <w:r>
        <w:rPr>
          <w:szCs w:val="28"/>
        </w:rPr>
        <w:t xml:space="preserve">аместитель руководителя пресс-центра Информационного агентства «Национальная Служба Новостей»</w:t>
      </w:r>
      <w:r>
        <w:rPr>
          <w:szCs w:val="28"/>
          <w:lang w:val="ru-RU"/>
        </w:rPr>
        <w:t xml:space="preserve">, директор медиаклуба Евразийской Ассоциации Бизнеса (</w:t>
      </w:r>
      <w:r>
        <w:rPr>
          <w:szCs w:val="28"/>
        </w:rPr>
        <w:t xml:space="preserve">ЕАБ</w:t>
      </w:r>
      <w:r>
        <w:rPr>
          <w:szCs w:val="28"/>
          <w:lang w:val="ru-RU"/>
        </w:rPr>
        <w:t xml:space="preserve">), руководитель медианаправления Международной ассоциации медиаэкспертов, член Парламента </w:t>
      </w:r>
      <w:r>
        <w:rPr>
          <w:szCs w:val="28"/>
          <w:lang w:val="en-US"/>
        </w:rPr>
        <w:t xml:space="preserve">Business</w:t>
      </w:r>
      <w:r>
        <w:rPr>
          <w:szCs w:val="28"/>
          <w:lang w:val="ru-RU"/>
        </w:rPr>
        <w:t xml:space="preserve"> </w:t>
      </w:r>
      <w:r>
        <w:rPr>
          <w:szCs w:val="28"/>
          <w:lang w:val="en-US"/>
        </w:rPr>
        <w:t xml:space="preserve">Family</w:t>
      </w:r>
      <w:r>
        <w:rPr>
          <w:szCs w:val="28"/>
          <w:lang w:val="ru-RU"/>
        </w:rPr>
        <w:t xml:space="preserve">, член </w:t>
      </w:r>
      <w:r>
        <w:rPr>
          <w:szCs w:val="28"/>
        </w:rPr>
        <w:t xml:space="preserve">Рабоч</w:t>
      </w:r>
      <w:r>
        <w:rPr>
          <w:szCs w:val="28"/>
          <w:lang w:val="ru-RU"/>
        </w:rPr>
        <w:t xml:space="preserve">ей</w:t>
      </w:r>
      <w:r>
        <w:rPr>
          <w:szCs w:val="28"/>
        </w:rPr>
        <w:t xml:space="preserve"> групп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по развитию коммуникаций в сфере инноватики</w:t>
      </w:r>
      <w:r>
        <w:rPr>
          <w:szCs w:val="28"/>
          <w:lang w:val="ru-RU"/>
        </w:rPr>
        <w:t xml:space="preserve"> в </w:t>
      </w:r>
      <w:r>
        <w:rPr>
          <w:szCs w:val="28"/>
        </w:rPr>
        <w:t xml:space="preserve">Комисси</w:t>
      </w:r>
      <w:r>
        <w:rPr>
          <w:szCs w:val="28"/>
          <w:lang w:val="ru-RU"/>
        </w:rPr>
        <w:t xml:space="preserve">и</w:t>
      </w:r>
      <w:r>
        <w:rPr>
          <w:szCs w:val="28"/>
        </w:rPr>
        <w:t xml:space="preserve"> по инвестициям в инновационное предпринимательство</w:t>
      </w:r>
      <w:r>
        <w:rPr>
          <w:szCs w:val="28"/>
          <w:lang w:val="ru-RU"/>
        </w:rPr>
        <w:t xml:space="preserve"> Совета по финансовому рынку и инвестициям </w:t>
      </w:r>
      <w:r>
        <w:rPr>
          <w:szCs w:val="28"/>
        </w:rPr>
        <w:t xml:space="preserve">Торгово-промышленн</w:t>
      </w:r>
      <w:r>
        <w:rPr>
          <w:szCs w:val="28"/>
          <w:lang w:val="ru-RU"/>
        </w:rPr>
        <w:t xml:space="preserve">ой</w:t>
      </w:r>
      <w:r>
        <w:rPr>
          <w:szCs w:val="28"/>
        </w:rPr>
        <w:t xml:space="preserve"> палат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Российской Федерации (ТПП РФ)</w:t>
      </w:r>
      <w:r>
        <w:rPr>
          <w:szCs w:val="28"/>
          <w:lang w:val="ru-RU"/>
        </w:rPr>
        <w:t xml:space="preserve">. </w:t>
      </w:r>
      <w:r>
        <w:t xml:space="preserve">Эксперт посвятила свое выступление вопросам взаи</w:t>
      </w:r>
      <w:r>
        <w:t xml:space="preserve">модействия промышленного бизнеса со средствами массовой информации. Она отметила, что сегодня специализированной государственной поддержки промышленных СМИ практически не существует, поэтому предприятиям необходимо самостоятельно выстраивать профессиональн</w:t>
      </w:r>
      <w:r>
        <w:t xml:space="preserve">ую коммуникацию с медиасообществом. Особое внимание Светлана Ключкина уделила кризисным коммуникациям, подчеркнув, что именно открытость бизнеса в сложных ситуациях формирует долгосрочное доверие журналистов и повышает интерес СМИ к деятельности компаний.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Светланы Ключкиной</w:t>
      </w:r>
      <w:r>
        <w:rPr>
          <w:b/>
          <w:bCs/>
        </w:rPr>
      </w:r>
      <w:r>
        <w:rPr>
          <w:b/>
          <w:bCs/>
        </w:rPr>
      </w:r>
    </w:p>
    <w:p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Промышленным предприятиям необх</w:t>
      </w:r>
      <w:r>
        <w:rPr>
          <w:i/>
          <w:iCs/>
        </w:rPr>
        <w:t xml:space="preserve">одимо воспринимать СМИ не как инструмент рекламы, а как долгосрочного партнера. Открытая коммуникация, экспертность и готовность обсуждать сложные темы формируют репутацию компании значительно эффективнее, чем публикации исключительно о собственных успехах</w:t>
      </w:r>
      <w:r>
        <w:rPr>
          <w:i/>
          <w:iCs/>
          <w:lang w:val="ru-RU"/>
        </w:rPr>
        <w:t xml:space="preserve">. </w:t>
      </w:r>
      <w:r>
        <w:rPr>
          <w:b/>
          <w:bCs/>
          <w:i/>
          <w:iCs/>
        </w:rPr>
        <w:t xml:space="preserve">Не закрывайтесь от СМИ в кризисной ситуации. Именно в такие моменты формируется доверие журналистов, а вместе с ним — и готовность поддерживать ваши будущие информационные поводы»</w:t>
      </w:r>
      <w:r>
        <w:rPr>
          <w:b/>
          <w:bCs/>
          <w:i/>
          <w:iCs/>
          <w:lang w:val="ru-RU"/>
        </w:rPr>
        <w:t xml:space="preserve">.</w:t>
      </w:r>
      <w:r>
        <w:rPr>
          <w:i/>
          <w:iCs/>
          <w:lang w:val="ru-RU"/>
        </w:rPr>
      </w:r>
      <w:r>
        <w:rPr>
          <w:i/>
          <w:iCs/>
          <w:lang w:val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Следующим выступил </w:t>
      </w:r>
      <w:r>
        <w:rPr>
          <w:b/>
          <w:bCs/>
        </w:rPr>
        <w:t xml:space="preserve">Александр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Крутов</w:t>
      </w:r>
      <w:r>
        <w:t xml:space="preserve">, </w:t>
      </w:r>
      <w:r>
        <w:rPr>
          <w:szCs w:val="28"/>
          <w:lang w:val="ru-RU"/>
        </w:rPr>
        <w:t xml:space="preserve">советник </w:t>
      </w:r>
      <w:r>
        <w:rPr>
          <w:szCs w:val="28"/>
        </w:rPr>
        <w:t xml:space="preserve">президент</w:t>
      </w:r>
      <w:r>
        <w:rPr>
          <w:szCs w:val="28"/>
          <w:lang w:val="ru-RU"/>
        </w:rPr>
        <w:t xml:space="preserve">а</w:t>
      </w:r>
      <w:r>
        <w:rPr>
          <w:szCs w:val="28"/>
        </w:rPr>
        <w:t xml:space="preserve"> Московской торгово-промышленной палаты (МТПП</w:t>
      </w:r>
      <w:r>
        <w:rPr>
          <w:szCs w:val="28"/>
          <w:lang w:val="ru-RU"/>
        </w:rPr>
        <w:t xml:space="preserve">)</w:t>
      </w:r>
      <w:r>
        <w:t xml:space="preserve"> по специальным проектам</w:t>
      </w:r>
      <w:r>
        <w:rPr>
          <w:lang w:val="ru-RU"/>
        </w:rPr>
        <w:t xml:space="preserve">, </w:t>
      </w:r>
      <w:r>
        <w:t xml:space="preserve">представи</w:t>
      </w:r>
      <w:r>
        <w:rPr>
          <w:lang w:val="ru-RU"/>
        </w:rPr>
        <w:t xml:space="preserve">в</w:t>
      </w:r>
      <w:r>
        <w:t xml:space="preserve"> комплексный обзор действующих инструментов поддержки промышленности Москвы</w:t>
      </w:r>
      <w:r>
        <w:rPr>
          <w:lang w:val="ru-RU"/>
        </w:rPr>
        <w:t xml:space="preserve">. Крутов</w:t>
      </w:r>
      <w:r>
        <w:rPr>
          <w:lang w:val="ru-RU"/>
        </w:rPr>
        <w:t xml:space="preserve"> </w:t>
      </w:r>
      <w:r>
        <w:t xml:space="preserve">остано</w:t>
      </w:r>
      <w:r>
        <w:rPr>
          <w:lang w:val="ru-RU"/>
        </w:rPr>
        <w:t xml:space="preserve">вился</w:t>
      </w:r>
      <w:r>
        <w:t xml:space="preserve"> на развитии промышленной инфраструктуры, подготовке кадров, т</w:t>
      </w:r>
      <w:r>
        <w:t xml:space="preserve">ехнопарков, мерах повышения производительности труда и механизмах взаимодействия бизнеса с органами власти. По его словам, эффективность государственной поддержки напрямую зависит не только от количества программ, но и от качества корпоративного управления</w:t>
      </w:r>
      <w:r>
        <w:t xml:space="preserve"> предприятий и их готовности к кооперации. Особое внимание эксперт уделил необходимости формирования современной управленческой культуры, без которой невозможно эффективно использовать существующие меры поддержки и строить устойчивые кооперационные модели.</w:t>
      </w:r>
      <w:r/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Александра Крутова</w:t>
      </w:r>
      <w:r>
        <w:rPr>
          <w:b/>
          <w:bCs/>
        </w:rPr>
      </w:r>
      <w:r>
        <w:rPr>
          <w:b/>
          <w:bCs/>
        </w:rPr>
      </w:r>
    </w:p>
    <w:p>
      <w:pPr>
        <w:rPr>
          <w:i/>
          <w:iCs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Главный ресурс развития промышленности — это не только финансирование, </w:t>
      </w:r>
      <w:r>
        <w:rPr>
          <w:i/>
          <w:iCs/>
        </w:rPr>
        <w:t xml:space="preserve">но и компетентное управление. Предприятиям необходимы современные управленческие модели, развитие кадрового потенциала и участие в профессиональных объединениях, которые позволяют формировать совместные решения и эффективно взаимодействовать с государством</w:t>
      </w:r>
      <w:r>
        <w:rPr>
          <w:i/>
          <w:iCs/>
          <w:lang w:val="ru-RU"/>
        </w:rPr>
        <w:t xml:space="preserve">. </w:t>
      </w:r>
      <w:r>
        <w:rPr>
          <w:b/>
          <w:bCs/>
          <w:i/>
          <w:iCs/>
        </w:rPr>
        <w:t xml:space="preserve">Кооперация начинается с качества управления. Пока предприятие не научится эффективно принимать решения внутри себя, построить устойчивое взаимодействие с другими участниками рынка практически невозможно»</w:t>
      </w:r>
      <w:r>
        <w:rPr>
          <w:b/>
          <w:bCs/>
          <w:i/>
          <w:iCs/>
          <w:lang w:val="ru-RU"/>
        </w:rPr>
        <w:t xml:space="preserve">.</w:t>
      </w:r>
      <w:r>
        <w:rPr>
          <w:i/>
          <w:iCs/>
        </w:rPr>
      </w:r>
      <w:r>
        <w:rPr>
          <w:i/>
          <w:iCs/>
        </w:rPr>
      </w:r>
    </w:p>
    <w:p>
      <w:pPr>
        <w:spacing w:after="40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r>
        <w:t xml:space="preserve">Продолжил экспертную дискуссию </w:t>
      </w:r>
      <w:r>
        <w:rPr>
          <w:b/>
          <w:bCs/>
        </w:rPr>
        <w:t xml:space="preserve">Александр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Долганов</w:t>
      </w:r>
      <w:r>
        <w:t xml:space="preserve">, </w:t>
      </w:r>
      <w:r>
        <w:rPr>
          <w:szCs w:val="28"/>
          <w:lang w:val="ru-RU"/>
        </w:rPr>
        <w:t xml:space="preserve">заместитель председателя Правления банка «Центр-инвест», председатель Комиссии по финансированию развития МСП Совета по финансовому рынку и инвестициям </w:t>
      </w:r>
      <w:r>
        <w:rPr>
          <w:szCs w:val="28"/>
        </w:rPr>
        <w:t xml:space="preserve">Торгово-промышленн</w:t>
      </w:r>
      <w:r>
        <w:rPr>
          <w:szCs w:val="28"/>
          <w:lang w:val="ru-RU"/>
        </w:rPr>
        <w:t xml:space="preserve">ой</w:t>
      </w:r>
      <w:r>
        <w:rPr>
          <w:szCs w:val="28"/>
        </w:rPr>
        <w:t xml:space="preserve"> палат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Российской Федерации (ТПП РФ)</w:t>
      </w:r>
      <w:r>
        <w:rPr>
          <w:szCs w:val="28"/>
          <w:lang w:val="ru-RU"/>
        </w:rPr>
        <w:t xml:space="preserve">, кандидат экономических наук</w:t>
      </w:r>
      <w:r>
        <w:rPr>
          <w:szCs w:val="28"/>
          <w:lang w:val="ru-RU"/>
        </w:rPr>
        <w:t xml:space="preserve">. </w:t>
      </w:r>
      <w:r>
        <w:t xml:space="preserve">Эксперт представил анализ текущего состояния финансовой поддержки малого и среднего бизнеса, отметив, </w:t>
      </w:r>
      <w:r>
        <w:t xml:space="preserve">что предприятиям необходимо адаптироваться к изменившимся экономическим условиям. По его словам, объем льготного кредитования постепенно сокращается, а государственная поддержка становится более адресной и ориентированной на приоритетные отрасли экономики.</w:t>
      </w:r>
      <w:r/>
    </w:p>
    <w:p>
      <w:r/>
      <w:r/>
    </w:p>
    <w:p>
      <w:r>
        <w:t xml:space="preserve">Особое внимание Долганов уделил тому, что сегодня предпр</w:t>
      </w:r>
      <w:r>
        <w:t xml:space="preserve">инимателям важно не рассчитывать исключительно на субсидируемые инструменты, а повышать финансовую устойчивость бизнеса, использовать механизмы реструктуризации, программы производительности труда, государственные закупки и цифровые финансовые инструменты.</w:t>
      </w:r>
      <w:r>
        <w:rPr>
          <w:lang w:val="ru-RU"/>
        </w:rPr>
        <w:t xml:space="preserve"> </w:t>
      </w:r>
      <w:r>
        <w:t xml:space="preserve">Отдельным блоком эксп</w:t>
      </w:r>
      <w:r>
        <w:t xml:space="preserve">ерт остановился на международной промышленной кооперации в рамках Евразийского экономического союза, отметив высокий потенциал программ льготного финансирования совместных проектов, несмотря на сложность формирования многосторонних кооперационных цепочек. </w:t>
      </w:r>
      <w:r/>
    </w:p>
    <w:p>
      <w:r/>
      <w:r/>
    </w:p>
    <w:p>
      <w:pPr>
        <w:spacing w:after="40"/>
        <w:rPr>
          <w:b/>
          <w:bCs/>
          <w:lang w:val="ru-RU"/>
        </w:rPr>
      </w:pPr>
      <w:r>
        <w:rPr>
          <w:b/>
          <w:bCs/>
        </w:rPr>
        <w:t xml:space="preserve">Ключевая мысль Александра Долганова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spacing w:after="40"/>
        <w:rPr>
          <w:b/>
          <w:bCs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Государственная поддержка продолжит существовать, однак</w:t>
      </w:r>
      <w:r>
        <w:rPr>
          <w:i/>
          <w:iCs/>
        </w:rPr>
        <w:t xml:space="preserve">о бизнесу необходимо быть готовым работать в новых экономических условиях. Побеждать будут предприятия, которые научатся эффективно использовать весь комплекс финансовых инструментов, повышать производительность труда и строить устойчивые партнерские связи</w:t>
      </w:r>
      <w:r>
        <w:rPr>
          <w:i/>
          <w:iCs/>
          <w:lang w:val="ru-RU"/>
        </w:rPr>
        <w:t xml:space="preserve">»</w:t>
      </w:r>
      <w:r>
        <w:rPr>
          <w:i/>
          <w:iCs/>
        </w:rPr>
        <w:t xml:space="preserve">.</w:t>
      </w:r>
      <w:r>
        <w:rPr>
          <w:i/>
          <w:iCs/>
          <w:lang w:val="ru-RU"/>
        </w:rPr>
        <w:t xml:space="preserve"> </w:t>
      </w:r>
      <w:r>
        <w:rPr>
          <w:b/>
          <w:bCs/>
        </w:rPr>
        <w:t xml:space="preserve">Любовь к своему делу сегодня становится не менее важной движущей силой бизнеса, чем государственная поддержка»</w:t>
      </w:r>
      <w:r>
        <w:rPr>
          <w:b/>
          <w:bCs/>
          <w:lang w:val="ru-RU"/>
        </w:rPr>
        <w:t xml:space="preserve">. </w:t>
      </w:r>
      <w:r>
        <w:rPr>
          <w:b/>
          <w:bCs/>
        </w:rPr>
      </w:r>
      <w:r>
        <w:rPr>
          <w:b/>
          <w:bCs/>
        </w:rPr>
      </w:r>
    </w:p>
    <w:p>
      <w:pPr>
        <w:spacing w:after="40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t xml:space="preserve">Следующим выступил </w:t>
      </w:r>
      <w:r>
        <w:rPr>
          <w:b/>
          <w:bCs/>
        </w:rPr>
        <w:t xml:space="preserve">Алишер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Таджиев</w:t>
      </w:r>
      <w:r>
        <w:t xml:space="preserve">, </w:t>
      </w:r>
      <w:r>
        <w:t xml:space="preserve">председатель Правления Союза «Деловой Совет по инвестиционному, торгово-экономическому и научно-техническому сотрудничеству «Центральная Азия+»,</w:t>
      </w:r>
      <w:r>
        <w:rPr>
          <w:lang w:val="ru-RU"/>
        </w:rPr>
        <w:t xml:space="preserve"> </w:t>
      </w:r>
      <w:r>
        <w:t xml:space="preserve">председатель Центрально-Азиатской Ассоциации Предприятий Строительной Индустрии (АПСИ)</w:t>
      </w:r>
      <w:r>
        <w:rPr>
          <w:lang w:val="ru-RU"/>
        </w:rPr>
        <w:t xml:space="preserve">, </w:t>
      </w:r>
      <w:r>
        <w:t xml:space="preserve">генеральный директор Ассоциации работодателей и координаторов трудовых ресурсов дружественных стран (АРКТР)</w:t>
      </w:r>
      <w:r>
        <w:rPr>
          <w:lang w:val="ru-RU"/>
        </w:rPr>
        <w:t xml:space="preserve"> </w:t>
      </w:r>
      <w:r>
        <w:t xml:space="preserve">и Международн</w:t>
      </w:r>
      <w:r>
        <w:rPr>
          <w:lang w:val="ru-RU"/>
        </w:rPr>
        <w:t xml:space="preserve">ой</w:t>
      </w:r>
      <w:r>
        <w:t xml:space="preserve"> Ассоциаци</w:t>
      </w:r>
      <w:r>
        <w:rPr>
          <w:lang w:val="ru-RU"/>
        </w:rPr>
        <w:t xml:space="preserve">и </w:t>
      </w:r>
      <w:r>
        <w:t xml:space="preserve">«Шанхайская организация строительно-производственной индустрии»</w:t>
      </w:r>
      <w:r>
        <w:rPr>
          <w:lang w:val="ru-RU"/>
        </w:rPr>
        <w:t xml:space="preserve"> </w:t>
      </w:r>
      <w:r>
        <w:t xml:space="preserve">(ШОСПИ)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t xml:space="preserve">Эксперт</w:t>
      </w:r>
      <w:r>
        <w:t xml:space="preserve"> рассказал о перспективах промышленной интеграции России со странами Центральной Азии, отметив, что объем взаимной торговли продолжает устойчиво расти, а государства региона создают привлекательные условия для реализации совместных инвестиционных проектов.</w:t>
      </w:r>
      <w:r>
        <w:rPr>
          <w:lang w:val="ru-RU"/>
        </w:rPr>
        <w:t xml:space="preserve"> </w:t>
      </w:r>
      <w:r>
        <w:t xml:space="preserve">Особое внимание было уделено во</w:t>
      </w:r>
      <w:r>
        <w:t xml:space="preserve">зможностям льготного финансирования через международные институты развития, налоговым преференциям для инвесторов, механизмам локализации производств и реализации совместных проектов с использованием потенциала российских и центральноазиатских предприятий.</w:t>
      </w:r>
      <w:r>
        <w:rPr>
          <w:lang w:val="ru-RU"/>
        </w:rPr>
        <w:t xml:space="preserve"> </w:t>
      </w:r>
      <w:r>
        <w:t xml:space="preserve">По мнению Таджиева, именно международная кооперация способна стать одним из драйверов развития промышленности в условиях ограниченного доступа к финансовым ресурсам и высокой стоимости кредитования внутри страны. </w:t>
      </w:r>
      <w:r>
        <w:rPr>
          <w:lang w:val="ru-RU"/>
        </w:rPr>
      </w:r>
      <w:r>
        <w:rPr>
          <w:lang w:val="ru-RU"/>
        </w:rPr>
      </w:r>
    </w:p>
    <w:p>
      <w:r/>
      <w:r/>
    </w:p>
    <w:p>
      <w:pPr>
        <w:spacing w:after="40"/>
        <w:rPr>
          <w:b/>
          <w:bCs/>
          <w:lang w:val="ru-RU"/>
        </w:rPr>
      </w:pPr>
      <w:r>
        <w:rPr>
          <w:b/>
          <w:bCs/>
        </w:rPr>
        <w:t xml:space="preserve">Ключевая мысль Алишера Таджиева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i/>
          <w:iCs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Страны Центральной Азии становятся не то</w:t>
      </w:r>
      <w:r>
        <w:rPr>
          <w:i/>
          <w:iCs/>
        </w:rPr>
        <w:t xml:space="preserve">лько рынком сбыта российской продукции, но и полноценными партнерами в реализации промышленных инвестиционных проектов. Совместное использование финансовых, производственных и кадровых ресурсов позволяет значительно повысить эффективность новых производств</w:t>
      </w:r>
      <w:r>
        <w:rPr>
          <w:i/>
          <w:iCs/>
          <w:lang w:val="ru-RU"/>
        </w:rPr>
        <w:t xml:space="preserve">. </w:t>
      </w:r>
      <w:r>
        <w:rPr>
          <w:b/>
          <w:bCs/>
          <w:i/>
          <w:iCs/>
        </w:rPr>
        <w:t xml:space="preserve">Приглашаю российские компании активнее использовать возможности стран Центральной Азии для реализации новых промышленных проектов. Сегодня это не только перспективный рынок, но и реальные инструменты льготного финансирования и государственной поддержки»</w:t>
      </w:r>
      <w:r>
        <w:rPr>
          <w:b/>
          <w:bCs/>
          <w:i/>
          <w:iCs/>
          <w:lang w:val="ru-RU"/>
        </w:rPr>
        <w:t xml:space="preserve">. </w:t>
      </w:r>
      <w:r>
        <w:rPr>
          <w:i/>
          <w:iCs/>
        </w:rPr>
      </w:r>
      <w:r>
        <w:rPr>
          <w:i/>
          <w:i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О новом подходе к управлению масштабными проектами рассказал </w:t>
      </w:r>
      <w:r>
        <w:rPr>
          <w:b/>
          <w:bCs/>
        </w:rPr>
        <w:t xml:space="preserve">Атагар Се</w:t>
      </w:r>
      <w:r>
        <w:rPr>
          <w:b/>
          <w:bCs/>
          <w:lang w:val="ru-RU"/>
        </w:rPr>
        <w:t xml:space="preserve">йи</w:t>
      </w:r>
      <w:r>
        <w:rPr>
          <w:b/>
          <w:bCs/>
        </w:rPr>
        <w:t xml:space="preserve">дов</w:t>
      </w:r>
      <w:r>
        <w:t xml:space="preserve">, вице-президент фонда «Долина Бельбек», член правления «Летного братства».</w:t>
      </w:r>
      <w:r>
        <w:rPr>
          <w:lang w:val="ru-RU"/>
        </w:rPr>
        <w:t xml:space="preserve"> </w:t>
      </w:r>
      <w:r>
        <w:t xml:space="preserve">В своем выступлении эксперт отметил, что большинство современных проектов сталкиваются не с нехваткой фин</w:t>
      </w:r>
      <w:r>
        <w:t xml:space="preserve">ансовых ресурсов или компетенций, а с отсутствием эффективной системы взаимодействия между всеми участниками процесса. Именно разобщенность организаций, по его мнению, становится причиной задержек, роста рисков и снижения эффективности реализации проектов.</w:t>
      </w:r>
      <w:r>
        <w:rPr>
          <w:lang w:val="ru-RU"/>
        </w:rPr>
        <w:t xml:space="preserve"> </w:t>
      </w:r>
      <w:r>
        <w:t xml:space="preserve">В качестве решения была представлена концепция институцион</w:t>
      </w:r>
      <w:r>
        <w:t xml:space="preserve">ального сопровождения — новой модели управления, в которой ключевым объектом становится не отдельная организация, а архитектура взаимодействия между бизнесом, государством, инвесторами, институтами развития и экспертным сообществом. Такой подход позволяет </w:t>
      </w:r>
      <w:r>
        <w:t xml:space="preserve">формировать единое пространство доверия, повышать управляемость проектов и ускорять принятие решений. </w:t>
      </w:r>
      <w:r/>
    </w:p>
    <w:p>
      <w:r/>
      <w:r/>
    </w:p>
    <w:p>
      <w:pPr>
        <w:spacing w:after="40"/>
        <w:rPr>
          <w:b/>
          <w:bCs/>
          <w:lang w:val="ru-RU"/>
        </w:rPr>
      </w:pPr>
      <w:r>
        <w:rPr>
          <w:b/>
          <w:bCs/>
        </w:rPr>
        <w:t xml:space="preserve">Ключевая мысль Атагара </w:t>
      </w:r>
      <w:r>
        <w:rPr>
          <w:b/>
          <w:bCs/>
        </w:rPr>
        <w:t xml:space="preserve">Се</w:t>
      </w:r>
      <w:r>
        <w:rPr>
          <w:b/>
          <w:bCs/>
          <w:lang w:val="ru-RU"/>
        </w:rPr>
        <w:t xml:space="preserve">йи</w:t>
      </w:r>
      <w:r>
        <w:rPr>
          <w:b/>
          <w:bCs/>
        </w:rPr>
        <w:t xml:space="preserve">дов</w:t>
      </w:r>
      <w:r>
        <w:rPr>
          <w:b/>
          <w:bCs/>
          <w:lang w:val="ru-RU"/>
        </w:rPr>
        <w:t xml:space="preserve">а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spacing w:after="40"/>
        <w:rPr>
          <w:b/>
          <w:bCs/>
          <w:lang w:val="ru-RU"/>
        </w:rPr>
      </w:pPr>
      <w:r>
        <w:rPr>
          <w:i/>
          <w:iCs/>
        </w:rPr>
        <w:t xml:space="preserve">Современные проекты требуют новой управленческой культуры. Конкурентоспособность определяется уже не только качеством работы каждой организации, но и способностью участников выстраивать эффективную систему взаимодействия между собой.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Мы слишком долго учились управлять организациями. Пришло время научиться управлять взаимодействием между ними.»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Втор</w:t>
      </w:r>
      <w:r>
        <w:rPr>
          <w:lang w:val="ru-RU"/>
        </w:rPr>
        <w:t xml:space="preserve">ую</w:t>
      </w:r>
      <w:r>
        <w:t xml:space="preserve"> част</w:t>
      </w:r>
      <w:r>
        <w:rPr>
          <w:lang w:val="ru-RU"/>
        </w:rPr>
        <w:t xml:space="preserve">ь</w:t>
      </w:r>
      <w:r>
        <w:t xml:space="preserve"> </w:t>
      </w:r>
      <w:r>
        <w:t xml:space="preserve">заседания</w:t>
      </w:r>
      <w:r>
        <w:t xml:space="preserve"> </w:t>
      </w:r>
      <w:r>
        <w:rPr>
          <w:lang w:val="ru-RU"/>
        </w:rPr>
        <w:t xml:space="preserve">открыла</w:t>
      </w:r>
      <w:r>
        <w:t xml:space="preserve"> </w:t>
      </w:r>
      <w:r>
        <w:rPr>
          <w:b/>
          <w:bCs/>
        </w:rPr>
        <w:t xml:space="preserve">Виктория Замятина</w:t>
      </w:r>
      <w:r>
        <w:t xml:space="preserve">, </w:t>
      </w:r>
      <w:r>
        <w:rPr>
          <w:lang w:val="ru-RU"/>
        </w:rPr>
        <w:t xml:space="preserve">председатель Комитета по индустриальным паркам и креативным производствам Ассоциации участников рынка малоэтажного и индивидуального жилищного строительства</w:t>
      </w:r>
      <w:r>
        <w:rPr>
          <w:lang w:val="ru-RU"/>
        </w:rPr>
        <w:br/>
        <w:t xml:space="preserve">(Ассоциации МЖС), исполнительный директор </w:t>
      </w:r>
      <w:r>
        <w:rPr>
          <w:szCs w:val="28"/>
          <w:lang w:val="ru-RU"/>
        </w:rPr>
        <w:t xml:space="preserve">Ассоциации работодателей и координаторов трудовых ресурсов дружественных стран (АРКТР)</w:t>
      </w:r>
      <w:r>
        <w:rPr>
          <w:szCs w:val="28"/>
          <w:lang w:val="ru-RU"/>
        </w:rPr>
        <w:t xml:space="preserve">. </w:t>
      </w:r>
      <w:r/>
    </w:p>
    <w:p>
      <w:r/>
      <w:r/>
    </w:p>
    <w:p>
      <w:r>
        <w:t xml:space="preserve">Эксперт представила практический кейс реализации креативного индустриального проекта, показав, каким образом культурные и творческие индустрии становятся частью современной экономической кооперации между регионами и государствами.</w:t>
      </w:r>
      <w:r/>
    </w:p>
    <w:p>
      <w:r>
        <w:t xml:space="preserve">На примере создания креативного центра в Республике Бурятия Замятина продемонстрировала возможности объединения бизнеса, государства, образовательных учрежден</w:t>
      </w:r>
      <w:r>
        <w:t xml:space="preserve">ий и международных партнеров для формирования новых точек экономического роста. Отдельное внимание было уделено сотрудничеству со странами Центральной Азии и развитию совместных проектов в сфере киноиндустрии, культурного обмена и подготовки специалистов. </w:t>
      </w:r>
      <w:r/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Виктории Замятиной</w:t>
      </w:r>
      <w:r>
        <w:rPr>
          <w:i/>
          <w:iCs/>
          <w:lang w:val="ru-RU"/>
        </w:rPr>
        <w:br/>
      </w: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Кооперация между государствами сегодня выходит далеко за пределы промышленного производства. Совместные проекты в сфере креативных индустрий способны создавать новые рынки, объединять компетенции разных стран и становиться драйвером регионального развития</w:t>
      </w:r>
      <w:r>
        <w:rPr>
          <w:i/>
          <w:iCs/>
          <w:lang w:val="ru-RU"/>
        </w:rPr>
        <w:t xml:space="preserve">»</w:t>
      </w:r>
      <w:r>
        <w:rPr>
          <w:i/>
          <w:iCs/>
        </w:rPr>
        <w:t xml:space="preserve">.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Когда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мы объединяем компетенции нескольких стран вокруг одного проекта, мы создаем не просто объект, а новую точку экономического роста»</w:t>
      </w:r>
      <w:r>
        <w:rPr>
          <w:b/>
          <w:bCs/>
          <w:i/>
          <w:iCs/>
          <w:lang w:val="ru-RU"/>
        </w:rPr>
        <w:t xml:space="preserve">. </w:t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Завершила данный блок выступлений </w:t>
      </w:r>
      <w:r>
        <w:rPr>
          <w:b/>
          <w:bCs/>
        </w:rPr>
        <w:t xml:space="preserve">Светлана Семыкина</w:t>
      </w:r>
      <w:r>
        <w:t xml:space="preserve">, </w:t>
      </w:r>
      <w:r>
        <w:rPr>
          <w:lang w:val="ru-RU"/>
        </w:rPr>
        <w:t xml:space="preserve">с</w:t>
      </w:r>
      <w:r>
        <w:t xml:space="preserve">оучредитель </w:t>
      </w:r>
      <w:r>
        <w:rPr>
          <w:szCs w:val="28"/>
          <w:lang w:val="ru-RU"/>
        </w:rPr>
        <w:t xml:space="preserve">Ассоциации работодателей и координаторов трудовых ресурсов дружественных стран (АРКТР) </w:t>
      </w:r>
      <w:r>
        <w:t xml:space="preserve">и </w:t>
      </w:r>
      <w:r>
        <w:rPr>
          <w:sz w:val="24"/>
          <w:szCs w:val="24"/>
        </w:rPr>
        <w:t xml:space="preserve">Союза «Деловой Совет по инвестиционному, торгово-экономическому и научно-техническому сотрудничеству «Центральная Азия+»,</w:t>
      </w:r>
      <w:r>
        <w:rPr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о</w:t>
      </w:r>
      <w:r>
        <w:t xml:space="preserve">снователь «Стеллиум Инвест», </w:t>
      </w:r>
      <w:r>
        <w:rPr>
          <w:lang w:val="ru-RU"/>
        </w:rPr>
        <w:t xml:space="preserve">п</w:t>
      </w:r>
      <w:r>
        <w:t xml:space="preserve">председатель </w:t>
      </w:r>
      <w:r>
        <w:rPr>
          <w:lang w:val="ru-RU"/>
        </w:rPr>
        <w:t xml:space="preserve">н</w:t>
      </w:r>
      <w:r>
        <w:t xml:space="preserve">аправления по обучению русскому языку трудовых мигрантов в промышленной, строительной, аграрной, жилищно-коммунальной и др</w:t>
      </w:r>
      <w:r>
        <w:rPr>
          <w:lang w:val="ru-RU"/>
        </w:rPr>
        <w:t xml:space="preserve">угих </w:t>
      </w:r>
      <w:r>
        <w:t xml:space="preserve">сферах </w:t>
      </w:r>
      <w:r>
        <w:rPr>
          <w:lang w:val="ru-RU"/>
        </w:rPr>
        <w:t xml:space="preserve">экономики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t xml:space="preserve">Эксперт обозначила одну из наиболее острых проблем современной промышленности — кад</w:t>
      </w:r>
      <w:r>
        <w:t xml:space="preserve">ровый дефицит. По ее словам, предприятия по всей стране испытывают нехватку квалифицированных специалистов, а работодатели одновременно сталкиваются с усилением требований миграционного законодательства и высокой стоимостью адаптации иностранных работников</w:t>
      </w:r>
      <w:r>
        <w:rPr>
          <w:lang w:val="ru-RU"/>
        </w:rPr>
        <w:t xml:space="preserve">. </w:t>
      </w:r>
      <w:r>
        <w:t xml:space="preserve">В качестве одного из решений Светлана Семикина предложила создание единой </w:t>
      </w:r>
      <w:r>
        <w:t xml:space="preserve">цифровой системы подготовки иностранн</w:t>
      </w:r>
      <w:r>
        <w:t xml:space="preserve">ых специалистов, включающей обучение русскому языку, профессиональную адаптацию и сопровождение работодателей. Такой подход позволит повысить производительность труда, сократить сроки адаптации сотрудников и минимизировать риски нарушения законодательства.</w:t>
      </w:r>
      <w:r/>
    </w:p>
    <w:p>
      <w:r>
        <w:t xml:space="preserve"> </w:t>
      </w:r>
      <w:r/>
    </w:p>
    <w:p>
      <w:pPr>
        <w:spacing w:after="40"/>
        <w:rPr>
          <w:b/>
          <w:bCs/>
          <w:lang w:val="ru-RU"/>
        </w:rPr>
      </w:pPr>
      <w:r>
        <w:rPr>
          <w:b/>
          <w:bCs/>
        </w:rPr>
        <w:t xml:space="preserve">Ключевая мысль </w:t>
      </w:r>
      <w:r>
        <w:rPr>
          <w:b/>
          <w:bCs/>
        </w:rPr>
        <w:t xml:space="preserve">Светлана Семыкин</w:t>
      </w:r>
      <w:r>
        <w:rPr>
          <w:b/>
          <w:bCs/>
          <w:lang w:val="ru-RU"/>
        </w:rPr>
        <w:t xml:space="preserve">ой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i/>
          <w:iCs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Кадровый дефицит невозможно решить исключительно привлечением новых работников. Необходима современная система подготовки, обучения и адаптации персонала, которая станет частью общей стратегии развития промышленности.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Необходимо автоматизировать процессы подготовки трудовых мигрантов и выстраивать систему обучения, которая будет полезна и работодателям, и самим специалистам»</w:t>
      </w:r>
      <w:r>
        <w:rPr>
          <w:i/>
          <w:iCs/>
        </w:rPr>
      </w:r>
      <w:r>
        <w:rPr>
          <w:i/>
          <w:iCs/>
        </w:rPr>
      </w:r>
    </w:p>
    <w:p>
      <w:pPr>
        <w:spacing w:after="40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t xml:space="preserve">Практический опыт внедрения инновационных строительных решений представила </w:t>
      </w:r>
      <w:r>
        <w:rPr>
          <w:b/>
          <w:bCs/>
        </w:rPr>
        <w:t xml:space="preserve">Оксана Лопатина</w:t>
      </w:r>
      <w: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генеральный директор компании «Синергия.Про»</w:t>
      </w:r>
      <w:r>
        <w:rPr>
          <w:lang w:val="ru-RU"/>
        </w:rPr>
        <w:t xml:space="preserve">. </w:t>
      </w:r>
      <w:r>
        <w:t xml:space="preserve">В своем выступлении она рассказала о разработках компании в области быстровозводимых защитных конструкций для промышленных объектов и об</w:t>
      </w:r>
      <w:r>
        <w:t xml:space="preserve">ъектов критической инфраструктуры. По словам эксперта, современные технологии позволяют в кратчайшие сроки обеспечить защиту предприятий от внешних угроз, существенно сократив сроки производства и монтажа конструкций по сравнению с традиционными решениями.</w:t>
      </w:r>
      <w:r>
        <w:rPr>
          <w:lang w:val="ru-RU"/>
        </w:rPr>
        <w:t xml:space="preserve"> </w:t>
      </w:r>
      <w:r>
        <w:t xml:space="preserve">Особое</w:t>
      </w:r>
      <w:r>
        <w:t xml:space="preserve"> внимание Лопатина уделила необходимости развития производственной кооперации. Реализация подоб</w:t>
      </w:r>
      <w:r>
        <w:t xml:space="preserve">ных проектов требует объединения производителей, монтажных организаций, проектировщиков и представителей органов власти. Именно совместная работа позволяет оперативно масштабировать технологии и повышать уровень защищенности стратегически важных объектов. </w:t>
      </w:r>
      <w:r>
        <w:rPr>
          <w:lang w:val="ru-RU"/>
        </w:rPr>
      </w:r>
      <w:r>
        <w:rPr>
          <w:lang w:val="ru-RU"/>
        </w:rPr>
      </w:r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Оксаны Лопатиной</w:t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  <w:highlight w:val="none"/>
          <w:lang w:val="ru-RU"/>
        </w:rPr>
      </w:pPr>
      <w:r>
        <w:rPr>
          <w:lang w:val="ru-RU"/>
        </w:rPr>
        <w:t xml:space="preserve">«</w:t>
      </w:r>
      <w:r>
        <w:t xml:space="preserve">Сегодня промышленная безопасность становится одним из стратегических направлений развития отечественного производства. Для быстрого внедрения новых технологий необходима кооперация предприятий и поддержка со стороны профильных институтов развития.</w:t>
      </w:r>
      <w:r>
        <w:rPr>
          <w:b/>
          <w:bCs/>
          <w:lang w:val="ru-RU"/>
        </w:rPr>
        <w:t xml:space="preserve"> М</w:t>
      </w:r>
      <w:r>
        <w:rPr>
          <w:b/>
          <w:bCs/>
        </w:rPr>
        <w:t xml:space="preserve">ы должны кооперироваться прежде всего вокруг стратегически важных направлений, потому что именно они становятся ключевыми в условиях новой реальности»</w:t>
      </w:r>
      <w:r>
        <w:rPr>
          <w:b/>
          <w:bCs/>
          <w:lang w:val="ru-RU"/>
        </w:rPr>
        <w:t xml:space="preserve">. 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  <w:lang w:val="ru-RU"/>
        </w:rPr>
      </w:r>
      <w:r>
        <w:rPr>
          <w:rFonts w:ascii="Arial" w:hAnsi="Arial" w:eastAsia="Arial" w:cs="Arial"/>
          <w:b w:val="0"/>
          <w:bCs w:val="0"/>
          <w:sz w:val="22"/>
          <w:szCs w:val="22"/>
          <w:lang w:val="ru-RU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>
      <w:pPr>
        <w:ind w:left="0" w:right="0" w:firstLine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Продолжила экспертную программу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Оксана Волошина,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 президент Научно-производственного объединения «Союз Агропром», генеральный директор Межрегиональной общественной организации содействия и развития экспертной деятельности «Экспертный совет», издатель журнал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а о путешествиях «Виноград». В своем выступлении эксперт рассмотрела текущее состояние агропромышленного сектора и промышленной переработки в условиях высокой ключевой ставки и сокращения доступности льготного финансирования. По ее словам, несмотря на высо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кий спрос на отечественную продукцию, предприятия малого и среднего бизнеса сталкиваются с серьезным дефицитом финансовых ресурсов, ограниченным доступом к программам государственной поддержки и ростом стоимости промышленного оборудования. Особое внимание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Волошина уделила юридическим рискам получения государственных субсидий. Она отметила, что усиление контроля со стороны надзорных органов, необходимость выполнения нефинансовых KPI, требования к локализации производства и соблюдению условий предоставления г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осударственной поддержки становятся для бизнеса не менее значимыми факторами, чем стоимость кредитных ресурсов. В завершение выступления эксперт предложила включить в итоговую резолюцию Комитета инициативы по совершенствованию механизмов государственной по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  <w:t xml:space="preserve">ддержки, снижению регуляторных рисков и разработке единого стандарта превентивного комплаенса для промышленных предприятий малого и среднего бизнеса.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pStyle w:val="839"/>
        <w:ind w:left="0" w:right="0" w:firstLine="0"/>
        <w:rPr>
          <w:rFonts w:ascii="Arial" w:hAnsi="Arial" w:cs="Arial"/>
          <w:b/>
          <w:bCs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Ключевая мысль Оксаны Волошиной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</w:p>
    <w:p>
      <w:pPr>
        <w:ind w:left="0" w:right="0" w:firstLine="0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2"/>
          <w:szCs w:val="22"/>
        </w:rPr>
        <w:t xml:space="preserve">«Сегодня промышленности необходимы не только доступные финансовые инструменты, но и предсказуемая правовая среда. Государственная поддержка должна сопровождаться механизмами, которые позволяют предприятиям безопасно реализовывать инвестиционные проекты без</w:t>
      </w: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2"/>
          <w:szCs w:val="22"/>
        </w:rPr>
        <w:t xml:space="preserve"> риска потерять полученные меры поддержки из-за объективных факторов, таких как кадровый дефицит или изменения экономической ситуации. </w:t>
      </w:r>
      <w:r>
        <w:rPr>
          <w:rFonts w:ascii="Arial" w:hAnsi="Arial" w:eastAsia="Arial" w:cs="Arial"/>
          <w:b/>
          <w:bCs/>
          <w:i/>
          <w:iCs/>
          <w:color w:val="000000" w:themeColor="text1"/>
          <w:sz w:val="22"/>
          <w:szCs w:val="22"/>
        </w:rPr>
        <w:t xml:space="preserve">Фокус государственной политики необходимо смещать с выдачи дешевых денег на создание долгосрочных условий для устойчивого</w:t>
      </w:r>
      <w:r>
        <w:rPr>
          <w:rFonts w:ascii="Arial" w:hAnsi="Arial" w:eastAsia="Arial" w:cs="Arial"/>
          <w:b/>
          <w:bCs/>
          <w:i/>
          <w:iCs/>
          <w:color w:val="000000" w:themeColor="text1"/>
          <w:sz w:val="22"/>
          <w:szCs w:val="22"/>
        </w:rPr>
        <w:t xml:space="preserve"> развития бизнеса, включая гарантированные контракты, готовую инфраструктуру и снижение юридических рисков для предприятий».</w:t>
      </w:r>
      <w:r>
        <w:rPr>
          <w:rFonts w:ascii="Arial" w:hAnsi="Arial" w:eastAsia="Arial" w:cs="Arial"/>
          <w:b/>
          <w:bCs/>
          <w:i/>
          <w:i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r>
    </w:p>
    <w:p>
      <w:pPr>
        <w:rPr>
          <w:color w:val="000000" w:themeColor="text1"/>
        </w:rPr>
      </w:pPr>
      <w:r>
        <w:rPr>
          <w:b/>
          <w:bCs/>
          <w:color w:val="000000" w:themeColor="text1"/>
          <w:highlight w:val="none"/>
          <w:lang w:val="ru-RU"/>
        </w:rPr>
      </w:r>
      <w:r>
        <w:rPr>
          <w:b/>
          <w:bCs/>
          <w:color w:val="000000" w:themeColor="text1"/>
          <w:highlight w:val="none"/>
          <w:lang w:val="ru-RU"/>
        </w:rPr>
      </w:r>
      <w:r>
        <w:rPr>
          <w:color w:val="000000" w:themeColor="text1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  <w:lang w:val="ru-RU"/>
        </w:rPr>
      </w:pPr>
      <w:r>
        <w:t xml:space="preserve">Отдельный блок посвя</w:t>
      </w:r>
      <w:r>
        <w:rPr>
          <w:lang w:val="ru-RU"/>
        </w:rPr>
        <w:t xml:space="preserve">тили</w:t>
      </w:r>
      <w:r>
        <w:t xml:space="preserve"> вопросам информационной безопасности промышленных предприятий</w:t>
      </w:r>
      <w:r>
        <w:rPr>
          <w:lang w:val="ru-RU"/>
        </w:rPr>
        <w:t xml:space="preserve">, в котором </w:t>
      </w:r>
      <w:r>
        <w:rPr>
          <w:b/>
          <w:bCs/>
        </w:rPr>
        <w:t xml:space="preserve">Светлана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Байда</w:t>
      </w:r>
      <w:r>
        <w:t xml:space="preserve">, эксперт в области информационной безопасности промышленного сектора, основатель </w:t>
      </w:r>
      <w:r>
        <w:rPr>
          <w:lang w:val="ru-RU"/>
        </w:rPr>
        <w:t xml:space="preserve">компании</w:t>
      </w:r>
      <w:r>
        <w:t xml:space="preserve"> «Райз»</w:t>
      </w:r>
      <w:r>
        <w:rPr>
          <w:lang w:val="ru-RU"/>
        </w:rPr>
        <w:t xml:space="preserve"> заявила, что </w:t>
      </w:r>
      <w:r>
        <w:t xml:space="preserve">ци</w:t>
      </w:r>
      <w:r>
        <w:t xml:space="preserve">фровая трансформация производств сопровождается ростом количества киберугроз. При этом наиболее уязвимыми остаются именно предприятия малого и среднего бизнеса, которые зачастую не располагают достаточными ресурсами для создания полноценной системы защиты.</w:t>
      </w:r>
      <w:r>
        <w:rPr>
          <w:b/>
          <w:bCs/>
          <w:lang w:val="ru-RU"/>
        </w:rPr>
        <w:t xml:space="preserve"> </w:t>
      </w:r>
      <w:r>
        <w:t xml:space="preserve">Эксперт предложила включить в резолюцию заседания меры по расширению государственной поддержки </w:t>
      </w:r>
      <w:r>
        <w:t xml:space="preserve">в сфере информационной безопасности, а также программы консультирования, обучения и повышения цифровой грамотности руководителей промышленных предприятий. Особое внимание было уделено развитию отечественных решений как альтернативы зарубежным технологиям.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r/>
      <w:r/>
    </w:p>
    <w:p>
      <w:pPr>
        <w:spacing w:after="40"/>
        <w:rPr>
          <w:b/>
          <w:bCs/>
        </w:rPr>
      </w:pPr>
      <w:r>
        <w:rPr>
          <w:b/>
          <w:bCs/>
        </w:rPr>
        <w:t xml:space="preserve">Ключевая мысль Светланы Байды</w:t>
      </w:r>
      <w:r>
        <w:rPr>
          <w:b/>
          <w:bCs/>
        </w:rPr>
      </w:r>
      <w:r>
        <w:rPr>
          <w:b/>
          <w:bCs/>
        </w:rPr>
      </w:r>
    </w:p>
    <w:p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«</w:t>
      </w:r>
      <w:r>
        <w:rPr>
          <w:i/>
          <w:iCs/>
        </w:rPr>
        <w:t xml:space="preserve">Информационная безопасность должна стать частью общей стратегии промышленного развития. Поддержка необходима не только крупным предприятиям, но и малому и среднему бизнесу, который все активнее внедряет цифровые технологии.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В развитии информационной безопасности и государственной поддержке нуждаются не только крупные предприятия, но и предприятия малого и среднего бизнеса»</w:t>
      </w:r>
      <w:r>
        <w:rPr>
          <w:b/>
          <w:bCs/>
          <w:i/>
          <w:iCs/>
          <w:lang w:val="ru-RU"/>
        </w:rPr>
        <w:t xml:space="preserve">. </w:t>
      </w:r>
      <w:r>
        <w:rPr>
          <w:i/>
          <w:iCs/>
          <w:lang w:val="ru-RU"/>
        </w:rPr>
      </w:r>
      <w:r>
        <w:rPr>
          <w:i/>
          <w:iCs/>
          <w:lang w:val="ru-RU"/>
        </w:rPr>
      </w:r>
    </w:p>
    <w:p>
      <w:pPr>
        <w:spacing w:after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Завершил экспертную программу заседания </w:t>
      </w:r>
      <w:r>
        <w:rPr>
          <w:b/>
          <w:bCs/>
        </w:rPr>
        <w:t xml:space="preserve">Руслан Се</w:t>
      </w:r>
      <w:r>
        <w:rPr>
          <w:b/>
          <w:bCs/>
          <w:lang w:val="ru-RU"/>
        </w:rPr>
        <w:t xml:space="preserve">й</w:t>
      </w:r>
      <w:r>
        <w:rPr>
          <w:b/>
          <w:bCs/>
        </w:rPr>
        <w:t xml:space="preserve">идов</w:t>
      </w:r>
      <w:r>
        <w:rPr>
          <w:lang w:val="ru-RU"/>
        </w:rPr>
        <w:t xml:space="preserve">, </w:t>
      </w:r>
      <w:r>
        <w:t xml:space="preserve">эксперт в области стратегического развития, антикризисного управления, цифровой трансформации и внедрения искусственного интеллекта в бизнес.</w:t>
      </w:r>
      <w:r>
        <w:rPr>
          <w:lang w:val="ru-RU"/>
        </w:rPr>
        <w:t xml:space="preserve"> </w:t>
      </w:r>
      <w:r>
        <w:t xml:space="preserve">В своем выступлении </w:t>
      </w:r>
      <w:r>
        <w:rPr>
          <w:lang w:val="ru-RU"/>
        </w:rPr>
        <w:t xml:space="preserve">Сейидов </w:t>
      </w:r>
      <w:r>
        <w:t xml:space="preserve">ра</w:t>
      </w:r>
      <w:r>
        <w:t xml:space="preserve">ссказал о современных подходах к повышению эффективности предприятий, отметив, что цифровые технологии и искусственный интеллект постепенно становятся не отдельным направлением развития, а обязательным элементом конкурентоспособности промышленного бизнеса.</w:t>
      </w:r>
      <w:r>
        <w:rPr>
          <w:lang w:val="ru-RU"/>
        </w:rPr>
        <w:t xml:space="preserve"> </w:t>
      </w:r>
      <w:r>
        <w:t xml:space="preserve">Особое внимание эксперт уделил практическому использованию инструментов повышения производительности труда, подче</w:t>
      </w:r>
      <w:r>
        <w:t xml:space="preserve">ркнув, что многие предприятия не используют существующие государственные программы в полном объеме. По его словам, предприятиям необходима системная работа по внедрению современных управленческих решений и сопровождению проектов на всех этапах реализации. </w:t>
      </w:r>
      <w:r/>
    </w:p>
    <w:p>
      <w:r/>
      <w:r/>
    </w:p>
    <w:p>
      <w:pPr>
        <w:spacing w:after="40"/>
        <w:rPr>
          <w:b/>
          <w:bCs/>
          <w:lang w:val="ru-RU"/>
        </w:rPr>
      </w:pPr>
      <w:r>
        <w:rPr>
          <w:b/>
          <w:bCs/>
        </w:rPr>
        <w:t xml:space="preserve">Ключевая мысль Руслана Се</w:t>
      </w:r>
      <w:r>
        <w:rPr>
          <w:b/>
          <w:bCs/>
          <w:lang w:val="ru-RU"/>
        </w:rPr>
        <w:t xml:space="preserve">й</w:t>
      </w:r>
      <w:r>
        <w:rPr>
          <w:b/>
          <w:bCs/>
        </w:rPr>
        <w:t xml:space="preserve">идова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«</w:t>
      </w:r>
      <w:r>
        <w:t xml:space="preserve">Конкурентоспособность современной промышленности определяется не только объемом инвестиций, но и скоростью внедрения новых управленческих технологий, цифровых решений и искусственного интеллекта.</w:t>
      </w:r>
      <w:r>
        <w:rPr>
          <w:lang w:val="ru-RU"/>
        </w:rPr>
        <w:t xml:space="preserve"> </w:t>
      </w:r>
      <w:r>
        <w:rPr>
          <w:b/>
          <w:bCs/>
        </w:rPr>
        <w:t xml:space="preserve">Если у предприятий возникают вопросы по мерам государственной поддержки, мы готовы помогать и сопровождать их до получения результата»</w:t>
      </w:r>
      <w:r>
        <w:rPr>
          <w:b/>
          <w:bCs/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  <w:t xml:space="preserve">Итоги заседания</w:t>
      </w:r>
      <w:r>
        <w:rPr>
          <w:b/>
          <w:bCs/>
        </w:rPr>
      </w:r>
      <w:r>
        <w:rPr>
          <w:b/>
          <w:bCs/>
        </w:rPr>
      </w:r>
    </w:p>
    <w:p>
      <w:r>
        <w:t xml:space="preserve">По итогам IV заседания Комитета по промышленной кооперации в малом и среднем предпринимательстве участники подтвердили, что дальнейшее разв</w:t>
      </w:r>
      <w:r>
        <w:t xml:space="preserve">итие российской промышленности невозможно без комплексного подхода, объединяющего государственную поддержку, производственную кооперацию, цифровую трансформацию, международное сотрудничество, подготовку кадров и развитие современных управленческих моделей.</w:t>
      </w:r>
      <w:r>
        <w:rPr>
          <w:lang w:val="ru-RU"/>
        </w:rPr>
        <w:t xml:space="preserve"> </w:t>
      </w:r>
      <w:r>
        <w:t xml:space="preserve">В ходе заседания прозвучал ряд практических предложений,</w:t>
      </w:r>
      <w:r>
        <w:rPr>
          <w:lang w:val="ru-RU"/>
        </w:rPr>
        <w:t xml:space="preserve"> </w:t>
      </w:r>
      <w:r>
        <w:t xml:space="preserve">которые будут включены в итоговую резолюцию Комитета.</w:t>
      </w:r>
      <w:r>
        <w:rPr>
          <w:lang w:val="ru-RU"/>
        </w:rPr>
        <w:t xml:space="preserve"> </w:t>
      </w:r>
      <w:r>
        <w:t xml:space="preserve">Среди них:</w:t>
      </w:r>
      <w:r/>
    </w:p>
    <w:p>
      <w:pPr>
        <w:numPr>
          <w:ilvl w:val="0"/>
          <w:numId w:val="1"/>
        </w:numPr>
        <w:spacing w:before="240"/>
      </w:pPr>
      <w:r>
        <w:t xml:space="preserve">совершенствование механизмов государственной поддержки промышленных предприятий;</w:t>
      </w:r>
      <w:r/>
    </w:p>
    <w:p>
      <w:pPr>
        <w:numPr>
          <w:ilvl w:val="0"/>
          <w:numId w:val="1"/>
        </w:numPr>
      </w:pPr>
      <w:r>
        <w:t xml:space="preserve">развитие производственной и межрегиональной кооперации;</w:t>
      </w:r>
      <w:r/>
    </w:p>
    <w:p>
      <w:pPr>
        <w:numPr>
          <w:ilvl w:val="0"/>
          <w:numId w:val="1"/>
        </w:numPr>
      </w:pPr>
      <w:r>
        <w:t xml:space="preserve">расширение международного промышленного сотрудничества, в том числе со странами Центральной Азии;</w:t>
      </w:r>
      <w:r/>
    </w:p>
    <w:p>
      <w:pPr>
        <w:numPr>
          <w:ilvl w:val="0"/>
          <w:numId w:val="1"/>
        </w:numPr>
      </w:pPr>
      <w:r>
        <w:t xml:space="preserve">внедрение новых моделей управления сложными проектами;</w:t>
      </w:r>
      <w:r/>
    </w:p>
    <w:p>
      <w:pPr>
        <w:numPr>
          <w:ilvl w:val="0"/>
          <w:numId w:val="1"/>
        </w:numPr>
      </w:pPr>
      <w:r>
        <w:t xml:space="preserve">развитие кадрового потенциала и современных механизмов подготовки специалистов;</w:t>
      </w:r>
      <w:r/>
    </w:p>
    <w:p>
      <w:pPr>
        <w:numPr>
          <w:ilvl w:val="0"/>
          <w:numId w:val="1"/>
        </w:numPr>
      </w:pPr>
      <w:r>
        <w:t xml:space="preserve">усиление мер по обеспечению информационной безопасности предприятий;</w:t>
      </w:r>
      <w:r/>
    </w:p>
    <w:p>
      <w:pPr>
        <w:numPr>
          <w:ilvl w:val="0"/>
          <w:numId w:val="1"/>
        </w:numPr>
      </w:pPr>
      <w:r>
        <w:t xml:space="preserve">расширение использования цифровых технологий и искусственного интеллекта в промышленности;</w:t>
      </w:r>
      <w:r/>
    </w:p>
    <w:p>
      <w:pPr>
        <w:numPr>
          <w:ilvl w:val="0"/>
          <w:numId w:val="1"/>
        </w:numPr>
        <w:spacing w:after="240"/>
      </w:pPr>
      <w:r>
        <w:t xml:space="preserve">развитие экспертного сопровождения бизнеса при реализации инвестиционных проектов. </w:t>
      </w:r>
      <w:r/>
    </w:p>
    <w:p>
      <w:pPr>
        <w:rPr>
          <w:lang w:val="ru-RU"/>
        </w:rPr>
      </w:pPr>
      <w:r>
        <w:t xml:space="preserve">Подводя итоги заседания, председатель</w:t>
      </w:r>
      <w:r>
        <w:rPr>
          <w:lang w:val="ru-RU"/>
        </w:rPr>
        <w:t xml:space="preserve"> </w:t>
      </w:r>
      <w:r>
        <w:t xml:space="preserve">Комитета</w:t>
      </w:r>
      <w:r>
        <w:rPr>
          <w:lang w:val="ru-RU"/>
        </w:rPr>
        <w:t xml:space="preserve"> </w:t>
      </w:r>
      <w:r>
        <w:rPr>
          <w:b/>
          <w:bCs/>
        </w:rPr>
        <w:t xml:space="preserve">Александр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Гринин</w:t>
      </w:r>
      <w:r>
        <w:rPr>
          <w:lang w:val="ru-RU"/>
        </w:rPr>
        <w:t xml:space="preserve"> </w:t>
      </w:r>
      <w:r>
        <w:t xml:space="preserve">поблагодарил участников за содержательную диск</w:t>
      </w:r>
      <w:r>
        <w:t xml:space="preserve">уссию и подчеркнул, что Комитет продолжит формировать экспертные предложения, направленные на совершенствование промышленной политики и развитие кооперации между бизнесом, государством и институтами развития. Результаты обсуждения лягут в основу резолюции,</w:t>
      </w:r>
      <w:r>
        <w:rPr>
          <w:lang w:val="ru-RU"/>
        </w:rPr>
        <w:t xml:space="preserve"> </w:t>
      </w:r>
      <w:r>
        <w:t xml:space="preserve">направлен</w:t>
      </w:r>
      <w:r>
        <w:rPr>
          <w:lang w:val="ru-RU"/>
        </w:rPr>
        <w:t xml:space="preserve">ной</w:t>
      </w:r>
      <w:r>
        <w:t xml:space="preserve"> в профильные органы государственной власти для дальнейшего рассмотрения.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7">
    <w:name w:val="Heading 1 Char"/>
    <w:basedOn w:val="843"/>
    <w:link w:val="83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>
    <w:name w:val="Heading 2 Char"/>
    <w:basedOn w:val="843"/>
    <w:link w:val="838"/>
    <w:uiPriority w:val="9"/>
    <w:rPr>
      <w:rFonts w:ascii="Liberation Sans" w:hAnsi="Liberation Sans" w:eastAsia="Liberation Sans" w:cs="Liberation Sans"/>
      <w:sz w:val="34"/>
    </w:rPr>
  </w:style>
  <w:style w:type="character" w:styleId="669">
    <w:name w:val="Heading 3 Char"/>
    <w:basedOn w:val="843"/>
    <w:link w:val="83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>
    <w:name w:val="Heading 4 Char"/>
    <w:basedOn w:val="843"/>
    <w:link w:val="84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>
    <w:name w:val="Heading 5 Char"/>
    <w:basedOn w:val="843"/>
    <w:link w:val="84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>
    <w:name w:val="Heading 6 Char"/>
    <w:basedOn w:val="843"/>
    <w:link w:val="84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3">
    <w:name w:val="Heading 7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>
    <w:name w:val="Heading 7 Char"/>
    <w:basedOn w:val="843"/>
    <w:link w:val="67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5">
    <w:name w:val="Heading 8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>
    <w:name w:val="Heading 8 Char"/>
    <w:basedOn w:val="843"/>
    <w:link w:val="67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7">
    <w:name w:val="Heading 9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8">
    <w:name w:val="Heading 9 Char"/>
    <w:basedOn w:val="843"/>
    <w:link w:val="6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3"/>
    <w:link w:val="847"/>
    <w:uiPriority w:val="10"/>
    <w:rPr>
      <w:sz w:val="48"/>
      <w:szCs w:val="48"/>
    </w:rPr>
  </w:style>
  <w:style w:type="character" w:styleId="681">
    <w:name w:val="Subtitle Char"/>
    <w:basedOn w:val="843"/>
    <w:link w:val="848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43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43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43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2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7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3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paragraph" w:styleId="837">
    <w:name w:val="Heading 1"/>
    <w:basedOn w:val="836"/>
    <w:next w:val="83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8">
    <w:name w:val="Heading 2"/>
    <w:basedOn w:val="836"/>
    <w:next w:val="83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9">
    <w:name w:val="Heading 3"/>
    <w:basedOn w:val="836"/>
    <w:next w:val="83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40">
    <w:name w:val="Heading 4"/>
    <w:basedOn w:val="836"/>
    <w:next w:val="83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41">
    <w:name w:val="Heading 5"/>
    <w:basedOn w:val="836"/>
    <w:next w:val="83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42">
    <w:name w:val="Heading 6"/>
    <w:basedOn w:val="836"/>
    <w:next w:val="836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table" w:styleId="84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47">
    <w:name w:val="Title"/>
    <w:basedOn w:val="836"/>
    <w:next w:val="83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48">
    <w:name w:val="Subtitle"/>
    <w:basedOn w:val="836"/>
    <w:next w:val="83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849">
    <w:name w:val="List Paragraph"/>
    <w:basedOn w:val="8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ARTMAKEDON</dc:creator>
  <cp:lastModifiedBy>Юлия Никитина</cp:lastModifiedBy>
  <cp:revision>4</cp:revision>
  <dcterms:created xsi:type="dcterms:W3CDTF">2026-07-09T16:09:00Z</dcterms:created>
  <dcterms:modified xsi:type="dcterms:W3CDTF">2026-07-10T10:26:20Z</dcterms:modified>
</cp:coreProperties>
</file>