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A0C56C" w14:textId="77777777" w:rsidR="000325B7" w:rsidRPr="00166966" w:rsidRDefault="000325B7" w:rsidP="000325B7">
      <w:pPr>
        <w:jc w:val="both"/>
        <w:rPr>
          <w:rFonts w:cs="Arial"/>
          <w:sz w:val="28"/>
          <w:szCs w:val="28"/>
        </w:rPr>
      </w:pPr>
    </w:p>
    <w:p w14:paraId="3435CB00" w14:textId="522069A2" w:rsidR="00166966" w:rsidRPr="00166966" w:rsidRDefault="00166966" w:rsidP="00166966">
      <w:pPr>
        <w:spacing w:line="276" w:lineRule="auto"/>
        <w:jc w:val="both"/>
        <w:rPr>
          <w:b/>
          <w:bCs/>
          <w:sz w:val="28"/>
          <w:szCs w:val="28"/>
        </w:rPr>
      </w:pPr>
      <w:r w:rsidRPr="00166966">
        <w:rPr>
          <w:b/>
          <w:bCs/>
          <w:sz w:val="28"/>
          <w:szCs w:val="28"/>
        </w:rPr>
        <w:t xml:space="preserve">В Калининградской области продолжается реализация мероприятий по внедрению интеллектуальных транспортных систем </w:t>
      </w:r>
      <w:r>
        <w:rPr>
          <w:b/>
          <w:bCs/>
          <w:sz w:val="28"/>
          <w:szCs w:val="28"/>
        </w:rPr>
        <w:t>по нацпроекту «Инфраструктура для жизни»</w:t>
      </w:r>
    </w:p>
    <w:p w14:paraId="6A254E32" w14:textId="77777777" w:rsidR="00166966" w:rsidRPr="00166966" w:rsidRDefault="00166966" w:rsidP="00166966">
      <w:pPr>
        <w:spacing w:line="276" w:lineRule="auto"/>
        <w:jc w:val="both"/>
        <w:rPr>
          <w:sz w:val="28"/>
          <w:szCs w:val="28"/>
        </w:rPr>
      </w:pPr>
    </w:p>
    <w:p w14:paraId="5D08AFD0" w14:textId="77777777" w:rsidR="00166966" w:rsidRPr="00166966" w:rsidRDefault="00166966" w:rsidP="00166966">
      <w:pPr>
        <w:spacing w:line="276" w:lineRule="auto"/>
        <w:jc w:val="both"/>
        <w:rPr>
          <w:sz w:val="28"/>
          <w:szCs w:val="28"/>
        </w:rPr>
      </w:pPr>
      <w:r w:rsidRPr="00166966">
        <w:rPr>
          <w:sz w:val="28"/>
          <w:szCs w:val="28"/>
        </w:rPr>
        <w:t>Интеллектуальные транспортные системы предусматривают автоматизацию процессов управления дорожным движением в городских агломерациях, включающих города с населением свыше 300 тысяч человек.</w:t>
      </w:r>
    </w:p>
    <w:p w14:paraId="314DA537" w14:textId="77777777" w:rsidR="00166966" w:rsidRPr="00166966" w:rsidRDefault="00166966" w:rsidP="00166966">
      <w:pPr>
        <w:spacing w:line="276" w:lineRule="auto"/>
        <w:jc w:val="both"/>
        <w:rPr>
          <w:sz w:val="28"/>
          <w:szCs w:val="28"/>
        </w:rPr>
      </w:pPr>
    </w:p>
    <w:p w14:paraId="0AC802FB" w14:textId="77777777" w:rsidR="00166966" w:rsidRPr="00166966" w:rsidRDefault="00166966" w:rsidP="00166966">
      <w:pPr>
        <w:spacing w:line="276" w:lineRule="auto"/>
        <w:jc w:val="both"/>
        <w:rPr>
          <w:sz w:val="28"/>
          <w:szCs w:val="28"/>
          <w:shd w:val="clear" w:color="auto" w:fill="FFFFFF"/>
        </w:rPr>
      </w:pPr>
      <w:r w:rsidRPr="00166966">
        <w:rPr>
          <w:sz w:val="28"/>
          <w:szCs w:val="28"/>
        </w:rPr>
        <w:t xml:space="preserve">В текущем году запланирована модернизация 12 светофорных объектов в Калининграде и Гурьевском округе. На светофорах будут установлены дорожные контроллеры, при помощи которых </w:t>
      </w:r>
      <w:r w:rsidRPr="00166966">
        <w:rPr>
          <w:sz w:val="28"/>
          <w:szCs w:val="28"/>
          <w:shd w:val="clear" w:color="auto" w:fill="FFFFFF"/>
        </w:rPr>
        <w:t>не только выполняется заложенный сценарий по работе светофоров, например, в час-пик, но и есть возможность регулировать параметры «зеленой волны».</w:t>
      </w:r>
    </w:p>
    <w:p w14:paraId="3626FC0D" w14:textId="77777777" w:rsidR="00166966" w:rsidRPr="00166966" w:rsidRDefault="00166966" w:rsidP="00166966">
      <w:pPr>
        <w:spacing w:line="276" w:lineRule="auto"/>
        <w:jc w:val="both"/>
        <w:rPr>
          <w:sz w:val="28"/>
          <w:szCs w:val="28"/>
          <w:shd w:val="clear" w:color="auto" w:fill="FFFFFF"/>
        </w:rPr>
      </w:pPr>
    </w:p>
    <w:p w14:paraId="6ECF07E2" w14:textId="1CAAAF53" w:rsidR="00166966" w:rsidRPr="00166966" w:rsidRDefault="00166966" w:rsidP="00166966">
      <w:pPr>
        <w:spacing w:line="276" w:lineRule="auto"/>
        <w:jc w:val="both"/>
        <w:rPr>
          <w:sz w:val="28"/>
          <w:szCs w:val="28"/>
        </w:rPr>
      </w:pPr>
      <w:r w:rsidRPr="00166966">
        <w:rPr>
          <w:sz w:val="28"/>
          <w:szCs w:val="28"/>
        </w:rPr>
        <w:t xml:space="preserve">Также планируется установить 38 детекторов транспортных потоков, которые </w:t>
      </w:r>
      <w:r w:rsidR="007927B4">
        <w:rPr>
          <w:sz w:val="28"/>
          <w:szCs w:val="28"/>
        </w:rPr>
        <w:t xml:space="preserve"> </w:t>
      </w:r>
      <w:r w:rsidRPr="00166966">
        <w:rPr>
          <w:sz w:val="28"/>
          <w:szCs w:val="28"/>
        </w:rPr>
        <w:t xml:space="preserve">анализируют транспортный поток, то есть считают машины, определяют их скорость, отслеживают плотность потока, т.е. данные о дорожном трафике, что в дальнейшем обеспечит возможность работы светофоров в адаптивном режиме, когда режим работы светофора меняется в зависимости от транспортного спроса. </w:t>
      </w:r>
    </w:p>
    <w:p w14:paraId="176E615D" w14:textId="77777777" w:rsidR="00166966" w:rsidRPr="00166966" w:rsidRDefault="00166966" w:rsidP="00166966">
      <w:pPr>
        <w:spacing w:line="276" w:lineRule="auto"/>
        <w:jc w:val="both"/>
        <w:rPr>
          <w:sz w:val="28"/>
          <w:szCs w:val="28"/>
        </w:rPr>
      </w:pPr>
    </w:p>
    <w:p w14:paraId="0099F4CC" w14:textId="77777777" w:rsidR="00166966" w:rsidRPr="00166966" w:rsidRDefault="00166966" w:rsidP="00166966">
      <w:pPr>
        <w:spacing w:line="276" w:lineRule="auto"/>
        <w:jc w:val="both"/>
        <w:rPr>
          <w:sz w:val="28"/>
          <w:szCs w:val="28"/>
        </w:rPr>
      </w:pPr>
      <w:r w:rsidRPr="00166966">
        <w:rPr>
          <w:sz w:val="28"/>
          <w:szCs w:val="28"/>
        </w:rPr>
        <w:t>В Калининградской области по нацпроекту «Инфраструктура для жизни» уже установлено 38 светофорных контроллеров и 143 детектора транспортных потоков.</w:t>
      </w:r>
    </w:p>
    <w:p w14:paraId="2D50D894" w14:textId="77777777" w:rsidR="00166966" w:rsidRPr="00166966" w:rsidRDefault="00166966" w:rsidP="00166966">
      <w:pPr>
        <w:spacing w:line="276" w:lineRule="auto"/>
        <w:jc w:val="both"/>
        <w:rPr>
          <w:sz w:val="28"/>
          <w:szCs w:val="28"/>
        </w:rPr>
      </w:pPr>
    </w:p>
    <w:p w14:paraId="11916E86" w14:textId="77777777" w:rsidR="00166966" w:rsidRPr="00166966" w:rsidRDefault="00166966" w:rsidP="00166966">
      <w:pPr>
        <w:spacing w:line="276" w:lineRule="auto"/>
        <w:jc w:val="both"/>
        <w:rPr>
          <w:sz w:val="28"/>
          <w:szCs w:val="28"/>
        </w:rPr>
      </w:pPr>
      <w:r w:rsidRPr="00166966">
        <w:rPr>
          <w:sz w:val="28"/>
          <w:szCs w:val="28"/>
        </w:rPr>
        <w:t xml:space="preserve">Глобальная задача интеллектуальной транспортной системы - </w:t>
      </w:r>
      <w:r w:rsidRPr="00166966">
        <w:rPr>
          <w:sz w:val="28"/>
          <w:szCs w:val="28"/>
          <w:shd w:val="clear" w:color="auto" w:fill="FFFFFF"/>
        </w:rPr>
        <w:t xml:space="preserve">снижение количества заторов и повышение безопасности на дороге. В частности, проделанная в этом году работа </w:t>
      </w:r>
      <w:r w:rsidRPr="00166966">
        <w:rPr>
          <w:sz w:val="28"/>
          <w:szCs w:val="28"/>
        </w:rPr>
        <w:t>позволит запустить приоритетный проезд трамваев по Фестивальной аллее, а также продолжить «зеленую волну» на улице Ю. Гагарина до Гурьевска.</w:t>
      </w:r>
    </w:p>
    <w:p w14:paraId="509A72D2" w14:textId="77777777" w:rsidR="00F82C25" w:rsidRPr="00166966" w:rsidRDefault="00F82C25" w:rsidP="00F82C25">
      <w:pPr>
        <w:rPr>
          <w:rFonts w:ascii="Times New Roman" w:hAnsi="Times New Roman" w:cs="Times New Roman"/>
          <w:sz w:val="28"/>
          <w:szCs w:val="28"/>
        </w:rPr>
      </w:pPr>
    </w:p>
    <w:p w14:paraId="467DD768" w14:textId="77777777" w:rsidR="004E1E2F" w:rsidRPr="00166966" w:rsidRDefault="004E1E2F" w:rsidP="004E1E2F">
      <w:pPr>
        <w:spacing w:line="276" w:lineRule="auto"/>
        <w:jc w:val="both"/>
        <w:rPr>
          <w:sz w:val="28"/>
          <w:szCs w:val="28"/>
        </w:rPr>
      </w:pPr>
    </w:p>
    <w:p w14:paraId="040D7B12" w14:textId="14372128" w:rsidR="00C52106" w:rsidRPr="00166966" w:rsidRDefault="00C52106" w:rsidP="000325B7">
      <w:pPr>
        <w:jc w:val="both"/>
        <w:rPr>
          <w:rFonts w:cs="Arial"/>
          <w:sz w:val="28"/>
          <w:szCs w:val="28"/>
        </w:rPr>
      </w:pPr>
    </w:p>
    <w:sectPr w:rsidR="00C52106" w:rsidRPr="00166966">
      <w:headerReference w:type="default" r:id="rId8"/>
      <w:footerReference w:type="default" r:id="rId9"/>
      <w:pgSz w:w="11906" w:h="16838"/>
      <w:pgMar w:top="0" w:right="850" w:bottom="1134" w:left="1701" w:header="421" w:footer="5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550F72" w14:textId="77777777" w:rsidR="00680CCA" w:rsidRDefault="00680CCA">
      <w:pPr>
        <w:spacing w:after="0" w:line="240" w:lineRule="auto"/>
      </w:pPr>
      <w:r>
        <w:separator/>
      </w:r>
    </w:p>
  </w:endnote>
  <w:endnote w:type="continuationSeparator" w:id="0">
    <w:p w14:paraId="63E25099" w14:textId="77777777" w:rsidR="00680CCA" w:rsidRDefault="00680C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A1141A" w14:textId="0DC16DD5" w:rsidR="00F9675B" w:rsidRDefault="0023769F">
    <w:pPr>
      <w:pStyle w:val="af7"/>
      <w:ind w:left="-142"/>
      <w:jc w:val="right"/>
    </w:pPr>
    <w:r>
      <w:rPr>
        <w:noProof/>
        <w:lang w:eastAsia="ru-RU"/>
      </w:rPr>
      <w:drawing>
        <wp:inline distT="0" distB="0" distL="0" distR="0" wp14:anchorId="09F98292" wp14:editId="4CD26DE0">
          <wp:extent cx="5940425" cy="311853"/>
          <wp:effectExtent l="0" t="0" r="3175" b="0"/>
          <wp:docPr id="4" name="Рисунок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Рисунок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0425" cy="31185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A536C">
      <w:t xml:space="preserve">                                             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D1C88A" w14:textId="77777777" w:rsidR="00680CCA" w:rsidRDefault="00680CCA">
      <w:pPr>
        <w:spacing w:after="0" w:line="240" w:lineRule="auto"/>
      </w:pPr>
      <w:r>
        <w:separator/>
      </w:r>
    </w:p>
  </w:footnote>
  <w:footnote w:type="continuationSeparator" w:id="0">
    <w:p w14:paraId="0EFEF931" w14:textId="77777777" w:rsidR="00680CCA" w:rsidRDefault="00680C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fc"/>
      <w:tblW w:w="15412" w:type="dxa"/>
      <w:tblInd w:w="-99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967"/>
      <w:gridCol w:w="3524"/>
      <w:gridCol w:w="4921"/>
    </w:tblGrid>
    <w:tr w:rsidR="00421D6B" w14:paraId="6493CF1F" w14:textId="77777777">
      <w:tc>
        <w:tcPr>
          <w:tcW w:w="6967" w:type="dxa"/>
        </w:tcPr>
        <w:p w14:paraId="31146946" w14:textId="20027D2F" w:rsidR="00F9675B" w:rsidRDefault="00421D6B">
          <w:pPr>
            <w:pStyle w:val="af5"/>
            <w:ind w:left="-529" w:right="-340" w:firstLine="709"/>
            <w:rPr>
              <w:color w:val="808080" w:themeColor="background1" w:themeShade="80"/>
            </w:rPr>
          </w:pPr>
          <w:r w:rsidRPr="00421D6B">
            <w:rPr>
              <w:noProof/>
              <w:lang w:eastAsia="ru-RU"/>
            </w:rPr>
            <w:drawing>
              <wp:inline distT="0" distB="0" distL="0" distR="0" wp14:anchorId="1A892980" wp14:editId="517B4078">
                <wp:extent cx="3488788" cy="832386"/>
                <wp:effectExtent l="0" t="0" r="3810" b="6350"/>
                <wp:docPr id="780640939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80640939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77487" cy="85354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24" w:type="dxa"/>
        </w:tcPr>
        <w:p w14:paraId="77176197" w14:textId="374A98F1" w:rsidR="00F9675B" w:rsidRDefault="00F9675B" w:rsidP="000B6493">
          <w:pPr>
            <w:pStyle w:val="af5"/>
            <w:ind w:left="31" w:right="32"/>
            <w:jc w:val="right"/>
            <w:rPr>
              <w:color w:val="808080" w:themeColor="background1" w:themeShade="80"/>
            </w:rPr>
          </w:pPr>
        </w:p>
      </w:tc>
      <w:tc>
        <w:tcPr>
          <w:tcW w:w="4921" w:type="dxa"/>
        </w:tcPr>
        <w:p w14:paraId="5707E2C7" w14:textId="77777777" w:rsidR="00F9675B" w:rsidRDefault="00F9675B">
          <w:pPr>
            <w:pStyle w:val="af5"/>
            <w:ind w:left="-114"/>
            <w:jc w:val="right"/>
          </w:pPr>
        </w:p>
      </w:tc>
    </w:tr>
  </w:tbl>
  <w:p w14:paraId="157DC882" w14:textId="77777777" w:rsidR="00F9675B" w:rsidRDefault="00F9675B">
    <w:pPr>
      <w:pStyle w:val="af5"/>
      <w:ind w:right="-340"/>
    </w:pPr>
  </w:p>
  <w:p w14:paraId="1581DA74" w14:textId="56135482" w:rsidR="00F9675B" w:rsidRDefault="000A536C">
    <w:pPr>
      <w:pStyle w:val="af5"/>
      <w:ind w:right="-340"/>
      <w:rPr>
        <w:b/>
        <w:color w:val="A6A6A6" w:themeColor="background1" w:themeShade="A6"/>
      </w:rPr>
    </w:pPr>
    <w:r>
      <w:rPr>
        <w:b/>
        <w:color w:val="A6A6A6" w:themeColor="background1" w:themeShade="A6"/>
      </w:rPr>
      <w:t>ПРЕСС-РЕЛИЗ</w:t>
    </w:r>
    <w:r w:rsidR="00A320CB">
      <w:rPr>
        <w:b/>
        <w:color w:val="A6A6A6" w:themeColor="background1" w:themeShade="A6"/>
      </w:rPr>
      <w:t xml:space="preserve">                                                                                                                         </w:t>
    </w:r>
    <w:r w:rsidR="00166966">
      <w:rPr>
        <w:b/>
        <w:color w:val="A6A6A6" w:themeColor="background1" w:themeShade="A6"/>
      </w:rPr>
      <w:t>26</w:t>
    </w:r>
    <w:r w:rsidR="00F82C25">
      <w:rPr>
        <w:b/>
        <w:color w:val="A6A6A6" w:themeColor="background1" w:themeShade="A6"/>
      </w:rPr>
      <w:t xml:space="preserve"> а</w:t>
    </w:r>
    <w:r w:rsidR="00924E48">
      <w:rPr>
        <w:b/>
        <w:color w:val="A6A6A6" w:themeColor="background1" w:themeShade="A6"/>
      </w:rPr>
      <w:t>вгуста</w:t>
    </w:r>
    <w:r w:rsidR="00A320CB">
      <w:rPr>
        <w:color w:val="808080" w:themeColor="background1" w:themeShade="80"/>
      </w:rPr>
      <w:t xml:space="preserve"> 202</w:t>
    </w:r>
    <w:r w:rsidR="00B976DE">
      <w:rPr>
        <w:color w:val="808080" w:themeColor="background1" w:themeShade="80"/>
      </w:rPr>
      <w:t>6</w:t>
    </w:r>
    <w:r w:rsidR="00A320CB">
      <w:rPr>
        <w:color w:val="808080" w:themeColor="background1" w:themeShade="80"/>
      </w:rPr>
      <w:t xml:space="preserve"> года</w:t>
    </w:r>
  </w:p>
  <w:p w14:paraId="31A64299" w14:textId="77777777" w:rsidR="00F9675B" w:rsidRDefault="00F9675B">
    <w:pPr>
      <w:pStyle w:val="af5"/>
      <w:ind w:right="-340"/>
      <w:rPr>
        <w:b/>
        <w:color w:val="A6A6A6" w:themeColor="background1" w:themeShade="A6"/>
        <w:sz w:val="24"/>
        <w:szCs w:val="24"/>
      </w:rPr>
    </w:pPr>
  </w:p>
  <w:p w14:paraId="5255B2BC" w14:textId="77777777" w:rsidR="00F9675B" w:rsidRDefault="00F9675B">
    <w:pPr>
      <w:pStyle w:val="af5"/>
      <w:ind w:right="-34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4C31EC"/>
    <w:multiLevelType w:val="multilevel"/>
    <w:tmpl w:val="E1E24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675B"/>
    <w:rsid w:val="0002356C"/>
    <w:rsid w:val="000276D5"/>
    <w:rsid w:val="000325B7"/>
    <w:rsid w:val="0005680D"/>
    <w:rsid w:val="00074BE2"/>
    <w:rsid w:val="00087659"/>
    <w:rsid w:val="00094FCA"/>
    <w:rsid w:val="000A536C"/>
    <w:rsid w:val="000B6493"/>
    <w:rsid w:val="000D5DC4"/>
    <w:rsid w:val="000F1298"/>
    <w:rsid w:val="00137C24"/>
    <w:rsid w:val="00166966"/>
    <w:rsid w:val="001810DD"/>
    <w:rsid w:val="001C343A"/>
    <w:rsid w:val="001E3EE3"/>
    <w:rsid w:val="0020279B"/>
    <w:rsid w:val="00205D14"/>
    <w:rsid w:val="0023769F"/>
    <w:rsid w:val="002C2D02"/>
    <w:rsid w:val="002C5B94"/>
    <w:rsid w:val="002D6A9E"/>
    <w:rsid w:val="002F6B16"/>
    <w:rsid w:val="003119AB"/>
    <w:rsid w:val="00315EEE"/>
    <w:rsid w:val="0031779C"/>
    <w:rsid w:val="00345179"/>
    <w:rsid w:val="00367BB0"/>
    <w:rsid w:val="00371169"/>
    <w:rsid w:val="003748C9"/>
    <w:rsid w:val="00392526"/>
    <w:rsid w:val="003D039E"/>
    <w:rsid w:val="003F109D"/>
    <w:rsid w:val="00421D6B"/>
    <w:rsid w:val="00445ADB"/>
    <w:rsid w:val="00452AD5"/>
    <w:rsid w:val="004567BA"/>
    <w:rsid w:val="004621C2"/>
    <w:rsid w:val="00480F74"/>
    <w:rsid w:val="004A44FA"/>
    <w:rsid w:val="004C2AD6"/>
    <w:rsid w:val="004E1E2F"/>
    <w:rsid w:val="00507A9F"/>
    <w:rsid w:val="005160E1"/>
    <w:rsid w:val="0054328C"/>
    <w:rsid w:val="0055582A"/>
    <w:rsid w:val="005674C0"/>
    <w:rsid w:val="00567A56"/>
    <w:rsid w:val="00583146"/>
    <w:rsid w:val="005A01EC"/>
    <w:rsid w:val="005C1ED5"/>
    <w:rsid w:val="005C6C35"/>
    <w:rsid w:val="006303A8"/>
    <w:rsid w:val="00676E00"/>
    <w:rsid w:val="00680CCA"/>
    <w:rsid w:val="00685F04"/>
    <w:rsid w:val="006A4EAB"/>
    <w:rsid w:val="006F3C3A"/>
    <w:rsid w:val="006F508D"/>
    <w:rsid w:val="006F7B62"/>
    <w:rsid w:val="0078407A"/>
    <w:rsid w:val="007927B4"/>
    <w:rsid w:val="007A53BE"/>
    <w:rsid w:val="007D1803"/>
    <w:rsid w:val="00884F29"/>
    <w:rsid w:val="00896902"/>
    <w:rsid w:val="008E15CA"/>
    <w:rsid w:val="00924E48"/>
    <w:rsid w:val="00945C89"/>
    <w:rsid w:val="00954532"/>
    <w:rsid w:val="009605F8"/>
    <w:rsid w:val="009A08D5"/>
    <w:rsid w:val="009A638D"/>
    <w:rsid w:val="009D037B"/>
    <w:rsid w:val="00A320CB"/>
    <w:rsid w:val="00A96021"/>
    <w:rsid w:val="00A9795A"/>
    <w:rsid w:val="00AB018A"/>
    <w:rsid w:val="00AD33BA"/>
    <w:rsid w:val="00B024A4"/>
    <w:rsid w:val="00B77BE2"/>
    <w:rsid w:val="00B95944"/>
    <w:rsid w:val="00B976DE"/>
    <w:rsid w:val="00BA1CEF"/>
    <w:rsid w:val="00BC0E4B"/>
    <w:rsid w:val="00C131EA"/>
    <w:rsid w:val="00C371A3"/>
    <w:rsid w:val="00C52106"/>
    <w:rsid w:val="00C707E2"/>
    <w:rsid w:val="00CC0560"/>
    <w:rsid w:val="00CF02D6"/>
    <w:rsid w:val="00D44C75"/>
    <w:rsid w:val="00D67F79"/>
    <w:rsid w:val="00DB53EB"/>
    <w:rsid w:val="00DC21A7"/>
    <w:rsid w:val="00DC3B7C"/>
    <w:rsid w:val="00DF745A"/>
    <w:rsid w:val="00E31102"/>
    <w:rsid w:val="00E40775"/>
    <w:rsid w:val="00E54A05"/>
    <w:rsid w:val="00E97F04"/>
    <w:rsid w:val="00EB21DF"/>
    <w:rsid w:val="00EB3E0D"/>
    <w:rsid w:val="00ED02AA"/>
    <w:rsid w:val="00ED0E84"/>
    <w:rsid w:val="00EF4B89"/>
    <w:rsid w:val="00F43548"/>
    <w:rsid w:val="00F47036"/>
    <w:rsid w:val="00F82C25"/>
    <w:rsid w:val="00F9675B"/>
    <w:rsid w:val="00FD4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819E8D"/>
  <w15:docId w15:val="{06BD1AFD-261E-4331-ACC4-DF4D0BE75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60"/>
      <w:jc w:val="center"/>
    </w:pPr>
    <w:rPr>
      <w:rFonts w:ascii="Arial" w:hAnsi="Arial"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eastAsia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eastAsia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eastAsia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eastAsia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eastAsia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eastAsia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eastAsia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eastAsia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eastAsia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b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1">
    <w:name w:val="Table Grid Light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1">
    <w:name w:val="Grid Table 1 Light - Accent 1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1">
    <w:name w:val="Grid Table 1 Light - Accent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1">
    <w:name w:val="Grid Table 1 Light - Accent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1">
    <w:name w:val="Grid Table 1 Light - Accent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1">
    <w:name w:val="Grid Table 1 Light - Accent 5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1">
    <w:name w:val="Grid Table 1 Light - Accent 6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1">
    <w:name w:val="Grid Table 2 - Accent 1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1">
    <w:name w:val="Grid Table 2 - Accent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1">
    <w:name w:val="Grid Table 2 - Accent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1">
    <w:name w:val="Grid Table 2 - Accent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1">
    <w:name w:val="Grid Table 2 - Accent 5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1">
    <w:name w:val="Grid Table 2 - Accent 6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1">
    <w:name w:val="Grid Table 3 - Accent 1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1">
    <w:name w:val="Grid Table 3 - Accent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1">
    <w:name w:val="Grid Table 3 - Accent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1">
    <w:name w:val="Grid Table 3 - Accent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1">
    <w:name w:val="Grid Table 3 - Accent 5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1">
    <w:name w:val="Grid Table 3 - Accent 6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1">
    <w:name w:val="Grid Table 4 - Accent 1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1">
    <w:name w:val="Grid Table 4 - Accent 2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1">
    <w:name w:val="Grid Table 4 - Accent 3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1">
    <w:name w:val="Grid Table 4 - Accent 4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1">
    <w:name w:val="Grid Table 4 - Accent 5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1">
    <w:name w:val="Grid Table 4 - Accent 6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1">
    <w:name w:val="Grid Table 5 Dark - Accent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1">
    <w:name w:val="Grid Table 5 Dark - Accent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1">
    <w:name w:val="Grid Table 5 Dark - Accent 5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1">
    <w:name w:val="Grid Table 5 Dark - Accent 6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1">
    <w:name w:val="Grid Table 6 Colorful - Accent 1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1">
    <w:name w:val="Grid Table 6 Colorful - Accent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1">
    <w:name w:val="Grid Table 6 Colorful - Accent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1">
    <w:name w:val="Grid Table 6 Colorful - Accent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1">
    <w:name w:val="Grid Table 6 Colorful - Accent 5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1">
    <w:name w:val="Grid Table 6 Colorful - Accent 6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1">
    <w:name w:val="Grid Table 7 Colorful - Accent 1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1">
    <w:name w:val="Grid Table 7 Colorful - Accent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1">
    <w:name w:val="Grid Table 7 Colorful - Accent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1">
    <w:name w:val="Grid Table 7 Colorful - Accent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1">
    <w:name w:val="Grid Table 7 Colorful - Accent 5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1">
    <w:name w:val="Grid Table 7 Colorful - Accent 6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1">
    <w:name w:val="List Table 1 Light - Accent 1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1">
    <w:name w:val="List Table 1 Light - Accent 2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1">
    <w:name w:val="List Table 1 Light - Accent 3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1">
    <w:name w:val="List Table 1 Light - Accent 4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1">
    <w:name w:val="List Table 1 Light - Accent 5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1">
    <w:name w:val="List Table 1 Light - Accent 6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1">
    <w:name w:val="List Table 2 - Accent 1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1">
    <w:name w:val="List Table 2 - Accent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1">
    <w:name w:val="List Table 2 - Accent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1">
    <w:name w:val="List Table 2 - Accent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1">
    <w:name w:val="List Table 2 - Accent 5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1">
    <w:name w:val="List Table 2 - Accent 6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1">
    <w:name w:val="List Table 3 - Accent 1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1">
    <w:name w:val="List Table 3 - Accent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1">
    <w:name w:val="List Table 3 - Accent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1">
    <w:name w:val="List Table 3 - Accent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1">
    <w:name w:val="List Table 3 - Accent 5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1">
    <w:name w:val="List Table 3 - Accent 6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1">
    <w:name w:val="List Table 4 - Accent 1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1">
    <w:name w:val="List Table 4 - Accent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1">
    <w:name w:val="List Table 4 - Accent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1">
    <w:name w:val="List Table 4 - Accent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1">
    <w:name w:val="List Table 4 - Accent 5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1">
    <w:name w:val="List Table 4 - Accent 6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1">
    <w:name w:val="List Table 5 Dark - Accent 1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1">
    <w:name w:val="List Table 5 Dark - Accent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1">
    <w:name w:val="List Table 5 Dark - Accent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1">
    <w:name w:val="List Table 5 Dark - Accent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1">
    <w:name w:val="List Table 5 Dark - Accent 5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1">
    <w:name w:val="List Table 5 Dark - Accent 6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1">
    <w:name w:val="List Table 6 Colorful - Accent 1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1">
    <w:name w:val="List Table 6 Colorful - Accent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1">
    <w:name w:val="List Table 6 Colorful - Accent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1">
    <w:name w:val="List Table 6 Colorful - Accent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1">
    <w:name w:val="List Table 6 Colorful - Accent 5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1">
    <w:name w:val="List Table 6 Colorful - Accent 6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1">
    <w:name w:val="List Table 7 Colorful - Accent 1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1">
    <w:name w:val="List Table 7 Colorful - Accent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1">
    <w:name w:val="List Table 7 Colorful - Accent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1">
    <w:name w:val="List Table 7 Colorful - Accent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1">
    <w:name w:val="List Table 7 Colorful - Accent 5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1">
    <w:name w:val="List Table 7 Colorful - Accent 6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c">
    <w:name w:val="Hyperlink"/>
    <w:uiPriority w:val="99"/>
    <w:unhideWhenUsed/>
    <w:rPr>
      <w:color w:val="0563C1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e">
    <w:name w:val="Текст сноски Знак"/>
    <w:link w:val="ad"/>
    <w:uiPriority w:val="99"/>
    <w:rPr>
      <w:sz w:val="18"/>
    </w:rPr>
  </w:style>
  <w:style w:type="character" w:styleId="af">
    <w:name w:val="footnote reference"/>
    <w:basedOn w:val="a0"/>
    <w:uiPriority w:val="99"/>
    <w:unhideWhenUsed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pPr>
      <w:spacing w:after="0" w:line="240" w:lineRule="auto"/>
    </w:pPr>
  </w:style>
  <w:style w:type="character" w:customStyle="1" w:styleId="af1">
    <w:name w:val="Текст концевой сноски Знак"/>
    <w:link w:val="af0"/>
    <w:uiPriority w:val="99"/>
    <w:rPr>
      <w:sz w:val="20"/>
    </w:rPr>
  </w:style>
  <w:style w:type="character" w:styleId="af2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3">
    <w:name w:val="TOC Heading"/>
    <w:uiPriority w:val="39"/>
    <w:unhideWhenUsed/>
  </w:style>
  <w:style w:type="paragraph" w:styleId="af4">
    <w:name w:val="table of figures"/>
    <w:basedOn w:val="a"/>
    <w:next w:val="a"/>
    <w:uiPriority w:val="99"/>
    <w:unhideWhenUsed/>
    <w:pPr>
      <w:spacing w:after="0"/>
    </w:pPr>
  </w:style>
  <w:style w:type="paragraph" w:styleId="af5">
    <w:name w:val="header"/>
    <w:basedOn w:val="a"/>
    <w:link w:val="af6"/>
    <w:uiPriority w:val="99"/>
    <w:unhideWhenUsed/>
    <w:pPr>
      <w:tabs>
        <w:tab w:val="center" w:pos="4677"/>
        <w:tab w:val="right" w:pos="9355"/>
      </w:tabs>
      <w:spacing w:after="0" w:line="240" w:lineRule="auto"/>
      <w:jc w:val="left"/>
    </w:pPr>
    <w:rPr>
      <w:rFonts w:asciiTheme="minorHAnsi" w:hAnsiTheme="minorHAnsi"/>
      <w:sz w:val="22"/>
      <w:szCs w:val="22"/>
    </w:rPr>
  </w:style>
  <w:style w:type="character" w:customStyle="1" w:styleId="af6">
    <w:name w:val="Верхний колонтитул Знак"/>
    <w:basedOn w:val="a0"/>
    <w:link w:val="af5"/>
    <w:uiPriority w:val="99"/>
  </w:style>
  <w:style w:type="paragraph" w:styleId="af7">
    <w:name w:val="footer"/>
    <w:basedOn w:val="a"/>
    <w:link w:val="af8"/>
    <w:uiPriority w:val="99"/>
    <w:unhideWhenUsed/>
    <w:pPr>
      <w:tabs>
        <w:tab w:val="center" w:pos="4677"/>
        <w:tab w:val="right" w:pos="9355"/>
      </w:tabs>
      <w:spacing w:after="0" w:line="240" w:lineRule="auto"/>
      <w:jc w:val="left"/>
    </w:pPr>
    <w:rPr>
      <w:rFonts w:asciiTheme="minorHAnsi" w:hAnsiTheme="minorHAnsi"/>
      <w:sz w:val="22"/>
      <w:szCs w:val="22"/>
    </w:rPr>
  </w:style>
  <w:style w:type="character" w:customStyle="1" w:styleId="af8">
    <w:name w:val="Нижний колонтитул Знак"/>
    <w:basedOn w:val="a0"/>
    <w:link w:val="af7"/>
    <w:uiPriority w:val="99"/>
  </w:style>
  <w:style w:type="paragraph" w:customStyle="1" w:styleId="msonormalmailrucssattributepostfix">
    <w:name w:val="msonormal_mailru_css_attribute_postfix"/>
    <w:basedOn w:val="a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</w:style>
  <w:style w:type="paragraph" w:styleId="af9">
    <w:name w:val="Balloon Text"/>
    <w:basedOn w:val="a"/>
    <w:link w:val="afa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uiPriority w:val="99"/>
    <w:semiHidden/>
    <w:rPr>
      <w:rFonts w:ascii="Tahoma" w:hAnsi="Tahoma" w:cs="Tahoma"/>
      <w:sz w:val="16"/>
      <w:szCs w:val="16"/>
    </w:rPr>
  </w:style>
  <w:style w:type="paragraph" w:styleId="afb">
    <w:name w:val="Normal (Web)"/>
    <w:basedOn w:val="a"/>
    <w:uiPriority w:val="99"/>
    <w:unhideWhenUsed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c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43">
    <w:name w:val="Основной шрифт абзаца4"/>
    <w:rsid w:val="001C343A"/>
  </w:style>
  <w:style w:type="character" w:customStyle="1" w:styleId="news-date-time">
    <w:name w:val="news-date-time"/>
    <w:basedOn w:val="a0"/>
    <w:rsid w:val="007A53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20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739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4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50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690563">
          <w:marLeft w:val="0"/>
          <w:marRight w:val="0"/>
          <w:marTop w:val="225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809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809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02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976778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714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031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952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9838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6028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50652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0629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97062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0570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795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48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093888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453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574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218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6410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0881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9900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87384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8200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1243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27170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4650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04430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891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9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25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906904">
          <w:marLeft w:val="0"/>
          <w:marRight w:val="0"/>
          <w:marTop w:val="225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753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127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19872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39055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617915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7209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0F76A8-3508-4896-A479-C16A0968E4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</Pages>
  <Words>224</Words>
  <Characters>1278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Телегина Ирина Петровна</cp:lastModifiedBy>
  <cp:revision>34</cp:revision>
  <dcterms:created xsi:type="dcterms:W3CDTF">2025-02-07T06:20:00Z</dcterms:created>
  <dcterms:modified xsi:type="dcterms:W3CDTF">2026-08-26T10:33:00Z</dcterms:modified>
</cp:coreProperties>
</file>