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426" w:rsidRDefault="008D79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r w:rsidR="00C2758C">
        <w:rPr>
          <w:rFonts w:ascii="Arial" w:hAnsi="Arial" w:cs="Arial"/>
          <w:b/>
          <w:sz w:val="24"/>
          <w:szCs w:val="24"/>
        </w:rPr>
        <w:t>30</w:t>
      </w:r>
      <w:r>
        <w:rPr>
          <w:rFonts w:ascii="Arial" w:hAnsi="Arial" w:cs="Arial"/>
          <w:b/>
          <w:sz w:val="24"/>
          <w:szCs w:val="24"/>
        </w:rPr>
        <w:t>» сентября 2026 г.</w:t>
      </w:r>
    </w:p>
    <w:p w:rsidR="00B90426" w:rsidRDefault="00B9042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90426" w:rsidRDefault="008D79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ПРЕСС-РЕЛИЗ</w:t>
      </w:r>
    </w:p>
    <w:p w:rsidR="00B90426" w:rsidRDefault="00B90426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B90426" w:rsidRDefault="008D79AE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Style w:val="ac"/>
          <w:rFonts w:ascii="Arial" w:hAnsi="Arial" w:cs="Arial"/>
          <w:color w:val="0F1115"/>
        </w:rPr>
      </w:pPr>
      <w:bookmarkStart w:id="0" w:name="_GoBack"/>
      <w:r>
        <w:rPr>
          <w:rStyle w:val="ac"/>
          <w:rFonts w:ascii="Arial" w:hAnsi="Arial" w:cs="Arial"/>
          <w:color w:val="0F1115"/>
        </w:rPr>
        <w:t>«НЭК ТЕХ» и «Группа Астра» объединяют усилия для развития отечественных решений в электроэнергетике</w:t>
      </w:r>
    </w:p>
    <w:bookmarkEnd w:id="0"/>
    <w:p w:rsidR="00B90426" w:rsidRDefault="00B90426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color w:val="0F1115"/>
        </w:rPr>
      </w:pPr>
    </w:p>
    <w:p w:rsidR="00B90426" w:rsidRDefault="00B46DB0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  <w:i/>
          <w:color w:val="0F1115"/>
          <w:sz w:val="22"/>
          <w:szCs w:val="22"/>
        </w:rPr>
      </w:pPr>
      <w:r w:rsidRPr="00B46DB0">
        <w:rPr>
          <w:rFonts w:ascii="Arial" w:hAnsi="Arial" w:cs="Arial"/>
          <w:b/>
          <w:i/>
          <w:color w:val="0F1115"/>
          <w:sz w:val="22"/>
          <w:szCs w:val="22"/>
        </w:rPr>
        <w:t>29 сентября</w:t>
      </w:r>
      <w:r>
        <w:rPr>
          <w:rFonts w:ascii="Arial" w:hAnsi="Arial" w:cs="Arial"/>
          <w:b/>
          <w:i/>
          <w:color w:val="0F1115"/>
          <w:sz w:val="22"/>
          <w:szCs w:val="22"/>
        </w:rPr>
        <w:t xml:space="preserve"> </w:t>
      </w:r>
      <w:r w:rsidR="008D79AE">
        <w:rPr>
          <w:rFonts w:ascii="Arial" w:hAnsi="Arial" w:cs="Arial"/>
          <w:b/>
          <w:i/>
          <w:color w:val="0F1115"/>
          <w:sz w:val="22"/>
          <w:szCs w:val="22"/>
        </w:rPr>
        <w:t>научно-технический центр «НЭК ТЕХ» (входит в Группу «НЭК») и «Группа Астра» заключили Соглашение о технологическом сотрудничестве в рамках форума «Микроэлектроника 2026» в г. Сочи. Партнёрство направлено на разработку отечественных устройств сбора и перед</w:t>
      </w:r>
      <w:r w:rsidR="008D79AE">
        <w:rPr>
          <w:rFonts w:ascii="Arial" w:hAnsi="Arial" w:cs="Arial"/>
          <w:b/>
          <w:i/>
          <w:color w:val="0F1115"/>
          <w:sz w:val="22"/>
          <w:szCs w:val="22"/>
        </w:rPr>
        <w:t>ачи данных с функциями средств защиты информации (СЗИ) для объектов критической информационной инфраструктуры (КИИ) в сфере электроэнергетики.</w:t>
      </w:r>
    </w:p>
    <w:p w:rsidR="00B90426" w:rsidRDefault="00B90426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color w:val="0F1115"/>
          <w:sz w:val="22"/>
          <w:szCs w:val="22"/>
        </w:rPr>
      </w:pPr>
    </w:p>
    <w:p w:rsidR="00B90426" w:rsidRDefault="008D79AE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Подписи под документом поставили </w:t>
      </w:r>
      <w:r w:rsidR="00B46DB0">
        <w:rPr>
          <w:rFonts w:ascii="Arial" w:hAnsi="Arial" w:cs="Arial"/>
          <w:color w:val="0F1115"/>
          <w:sz w:val="22"/>
          <w:szCs w:val="22"/>
        </w:rPr>
        <w:t>технический директор</w:t>
      </w:r>
      <w:r>
        <w:rPr>
          <w:rFonts w:ascii="Arial" w:hAnsi="Arial" w:cs="Arial"/>
          <w:color w:val="0F1115"/>
          <w:sz w:val="22"/>
          <w:szCs w:val="22"/>
        </w:rPr>
        <w:t xml:space="preserve"> научно-технического центра «НЭК ТЕХ» </w:t>
      </w:r>
      <w:r w:rsidR="00B46DB0">
        <w:rPr>
          <w:rFonts w:ascii="Arial" w:hAnsi="Arial" w:cs="Arial"/>
          <w:color w:val="0F1115"/>
          <w:sz w:val="22"/>
          <w:szCs w:val="22"/>
        </w:rPr>
        <w:t>Денис Коваль</w:t>
      </w:r>
      <w:r>
        <w:rPr>
          <w:rFonts w:ascii="Arial" w:hAnsi="Arial" w:cs="Arial"/>
          <w:color w:val="0F1115"/>
          <w:sz w:val="22"/>
          <w:szCs w:val="22"/>
        </w:rPr>
        <w:t xml:space="preserve"> и ди</w:t>
      </w:r>
      <w:r>
        <w:rPr>
          <w:rFonts w:ascii="Arial" w:hAnsi="Arial" w:cs="Arial"/>
          <w:color w:val="0F1115"/>
          <w:sz w:val="22"/>
          <w:szCs w:val="22"/>
        </w:rPr>
        <w:t xml:space="preserve">ректор управления операционных систем «Группы Астра» Михаил </w:t>
      </w:r>
      <w:proofErr w:type="spellStart"/>
      <w:r>
        <w:rPr>
          <w:rFonts w:ascii="Arial" w:hAnsi="Arial" w:cs="Arial"/>
          <w:color w:val="0F1115"/>
          <w:sz w:val="22"/>
          <w:szCs w:val="22"/>
        </w:rPr>
        <w:t>Геллерман</w:t>
      </w:r>
      <w:proofErr w:type="spellEnd"/>
      <w:r>
        <w:rPr>
          <w:rFonts w:ascii="Arial" w:hAnsi="Arial" w:cs="Arial"/>
          <w:color w:val="0F1115"/>
          <w:sz w:val="22"/>
          <w:szCs w:val="22"/>
        </w:rPr>
        <w:t xml:space="preserve">. </w:t>
      </w:r>
    </w:p>
    <w:p w:rsidR="00B90426" w:rsidRDefault="008D79AE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>Стороны планируют совместную работу над созданием устройств, которые найдут широкое применение в автоматизированных системах управления технологическим процессом (АСУ ТП) на объектах э</w:t>
      </w:r>
      <w:r>
        <w:rPr>
          <w:rFonts w:ascii="Arial" w:hAnsi="Arial" w:cs="Arial"/>
          <w:color w:val="0F1115"/>
          <w:sz w:val="22"/>
          <w:szCs w:val="22"/>
        </w:rPr>
        <w:t>лектроэнергетики. Реализация проекта ведётся в рамках исполнения указов Президента РФ об обеспечении информационной безопасности и укреплении технологического суверенитета страны.</w:t>
      </w:r>
    </w:p>
    <w:p w:rsidR="00B46DB0" w:rsidRDefault="008D79AE" w:rsidP="00B46DB0">
      <w:pPr>
        <w:pStyle w:val="aff4"/>
        <w:spacing w:before="280" w:after="280"/>
        <w:ind w:firstLine="567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i/>
          <w:color w:val="0F1115"/>
          <w:sz w:val="22"/>
          <w:szCs w:val="22"/>
        </w:rPr>
        <w:t>«НЭК ТЕХ» – один из ведущих российских разработчиков коммуникационных и изме</w:t>
      </w:r>
      <w:r>
        <w:rPr>
          <w:rFonts w:ascii="Arial" w:hAnsi="Arial" w:cs="Arial"/>
          <w:i/>
          <w:color w:val="0F1115"/>
          <w:sz w:val="22"/>
          <w:szCs w:val="22"/>
        </w:rPr>
        <w:t>рительных устройств. Российское программное обеспечение «Группы Астра» позволит развивать цифровую инфраструктуру, совершенствовать наши собственные ИТ-продукты и станет основой для новых совместных проектов. Сотрудничество нашей компании с «Группой Астра»</w:t>
      </w:r>
      <w:r>
        <w:rPr>
          <w:rFonts w:ascii="Arial" w:hAnsi="Arial" w:cs="Arial"/>
          <w:i/>
          <w:color w:val="0F1115"/>
          <w:sz w:val="22"/>
          <w:szCs w:val="22"/>
        </w:rPr>
        <w:t xml:space="preserve"> имеет стратегическое значение для обеспечения технологической независимости комплексных решений Группы «НЭК», которые широко применяются на объектах электроэнергетики в компаниях-лидерах рынка, таких как ПАО «Интер РАО», ПАО «Россети», ПАО «РусГидро», АО </w:t>
      </w:r>
      <w:r>
        <w:rPr>
          <w:rFonts w:ascii="Arial" w:hAnsi="Arial" w:cs="Arial"/>
          <w:i/>
          <w:color w:val="0F1115"/>
          <w:sz w:val="22"/>
          <w:szCs w:val="22"/>
        </w:rPr>
        <w:t xml:space="preserve">«Концерн Росэнергоатом» и других. Совместные проекты наших компаний внесут важный вклад в обеспечение технологической независимости нашей страны», </w:t>
      </w:r>
      <w:r w:rsidR="00B46DB0" w:rsidRPr="00B46DB0">
        <w:rPr>
          <w:rFonts w:ascii="Arial" w:hAnsi="Arial" w:cs="Arial"/>
          <w:i/>
          <w:color w:val="0F1115"/>
          <w:sz w:val="22"/>
          <w:szCs w:val="22"/>
        </w:rPr>
        <w:t>—</w:t>
      </w:r>
      <w:r>
        <w:rPr>
          <w:rFonts w:ascii="Arial" w:hAnsi="Arial" w:cs="Arial"/>
          <w:color w:val="0F1115"/>
          <w:sz w:val="22"/>
          <w:szCs w:val="22"/>
        </w:rPr>
        <w:t xml:space="preserve"> прокомментировал Дмитрий Зарецкий, генеральный директор ООО «НЭК ТЕХ».</w:t>
      </w:r>
    </w:p>
    <w:p w:rsidR="00B90426" w:rsidRPr="00B46DB0" w:rsidRDefault="008D79AE" w:rsidP="00B46DB0">
      <w:pPr>
        <w:pStyle w:val="aff4"/>
        <w:spacing w:before="280" w:after="280"/>
        <w:ind w:firstLine="567"/>
        <w:jc w:val="both"/>
        <w:rPr>
          <w:rFonts w:ascii="Arial" w:hAnsi="Arial" w:cs="Arial"/>
          <w:color w:val="0F1115"/>
          <w:sz w:val="22"/>
          <w:szCs w:val="22"/>
        </w:rPr>
      </w:pPr>
      <w:r w:rsidRPr="00B46DB0">
        <w:rPr>
          <w:rFonts w:ascii="Arial" w:hAnsi="Arial" w:cs="Arial"/>
          <w:i/>
          <w:color w:val="0F1115"/>
          <w:sz w:val="22"/>
          <w:szCs w:val="22"/>
        </w:rPr>
        <w:t>«Группа Астра» видит в соглашении с</w:t>
      </w:r>
      <w:r w:rsidRPr="00B46DB0">
        <w:rPr>
          <w:rFonts w:ascii="Arial" w:hAnsi="Arial" w:cs="Arial"/>
          <w:i/>
          <w:color w:val="0F1115"/>
          <w:sz w:val="22"/>
          <w:szCs w:val="22"/>
        </w:rPr>
        <w:t xml:space="preserve"> </w:t>
      </w:r>
      <w:r w:rsidR="00B46DB0">
        <w:rPr>
          <w:rFonts w:ascii="Arial" w:hAnsi="Arial" w:cs="Arial"/>
          <w:i/>
          <w:color w:val="0F1115"/>
          <w:sz w:val="22"/>
          <w:szCs w:val="22"/>
        </w:rPr>
        <w:t>«</w:t>
      </w:r>
      <w:r w:rsidRPr="00B46DB0">
        <w:rPr>
          <w:rFonts w:ascii="Arial" w:hAnsi="Arial" w:cs="Arial"/>
          <w:i/>
          <w:color w:val="0F1115"/>
          <w:sz w:val="22"/>
          <w:szCs w:val="22"/>
        </w:rPr>
        <w:t>НЭК ТЕХ</w:t>
      </w:r>
      <w:r w:rsidR="00B46DB0">
        <w:rPr>
          <w:rFonts w:ascii="Arial" w:hAnsi="Arial" w:cs="Arial"/>
          <w:i/>
          <w:color w:val="0F1115"/>
          <w:sz w:val="22"/>
          <w:szCs w:val="22"/>
        </w:rPr>
        <w:t>»</w:t>
      </w:r>
      <w:r w:rsidRPr="00B46DB0">
        <w:rPr>
          <w:rFonts w:ascii="Arial" w:hAnsi="Arial" w:cs="Arial"/>
          <w:i/>
          <w:color w:val="0F1115"/>
          <w:sz w:val="22"/>
          <w:szCs w:val="22"/>
        </w:rPr>
        <w:t xml:space="preserve"> практический шаг к применению российского системного ПО на объектах критической информационной инфраструктуры в энергетике. Наша встраиваемая редакция </w:t>
      </w:r>
      <w:proofErr w:type="spellStart"/>
      <w:r w:rsidRPr="00B46DB0">
        <w:rPr>
          <w:rFonts w:ascii="Arial" w:hAnsi="Arial" w:cs="Arial"/>
          <w:i/>
          <w:color w:val="0F1115"/>
          <w:sz w:val="22"/>
          <w:szCs w:val="22"/>
        </w:rPr>
        <w:t>Astra</w:t>
      </w:r>
      <w:proofErr w:type="spellEnd"/>
      <w:r w:rsidRPr="00B46DB0">
        <w:rPr>
          <w:rFonts w:ascii="Arial" w:hAnsi="Arial" w:cs="Arial"/>
          <w:i/>
          <w:color w:val="0F1115"/>
          <w:sz w:val="22"/>
          <w:szCs w:val="22"/>
        </w:rPr>
        <w:t xml:space="preserve"> </w:t>
      </w:r>
      <w:proofErr w:type="spellStart"/>
      <w:r w:rsidRPr="00B46DB0">
        <w:rPr>
          <w:rFonts w:ascii="Arial" w:hAnsi="Arial" w:cs="Arial"/>
          <w:i/>
          <w:color w:val="0F1115"/>
          <w:sz w:val="22"/>
          <w:szCs w:val="22"/>
        </w:rPr>
        <w:t>Linux</w:t>
      </w:r>
      <w:proofErr w:type="spellEnd"/>
      <w:r w:rsidRPr="00B46DB0">
        <w:rPr>
          <w:rFonts w:ascii="Arial" w:hAnsi="Arial" w:cs="Arial"/>
          <w:i/>
          <w:color w:val="0F1115"/>
          <w:sz w:val="22"/>
          <w:szCs w:val="22"/>
        </w:rPr>
        <w:t xml:space="preserve"> </w:t>
      </w:r>
      <w:proofErr w:type="spellStart"/>
      <w:r w:rsidRPr="00B46DB0">
        <w:rPr>
          <w:rFonts w:ascii="Arial" w:hAnsi="Arial" w:cs="Arial"/>
          <w:i/>
          <w:color w:val="0F1115"/>
          <w:sz w:val="22"/>
          <w:szCs w:val="22"/>
        </w:rPr>
        <w:t>Embedded</w:t>
      </w:r>
      <w:proofErr w:type="spellEnd"/>
      <w:r w:rsidRPr="00B46DB0">
        <w:rPr>
          <w:rFonts w:ascii="Arial" w:hAnsi="Arial" w:cs="Arial"/>
          <w:i/>
          <w:color w:val="0F1115"/>
          <w:sz w:val="22"/>
          <w:szCs w:val="22"/>
        </w:rPr>
        <w:t xml:space="preserve"> обеспечит устройствам сбора и передачи данных необходимый уровень защиты и </w:t>
      </w:r>
      <w:r w:rsidRPr="00B46DB0">
        <w:rPr>
          <w:rFonts w:ascii="Arial" w:hAnsi="Arial" w:cs="Arial"/>
          <w:i/>
          <w:color w:val="0F1115"/>
          <w:sz w:val="22"/>
          <w:szCs w:val="22"/>
        </w:rPr>
        <w:t xml:space="preserve">стабильность работы, а совместная разработка с </w:t>
      </w:r>
      <w:r w:rsidR="00B46DB0">
        <w:rPr>
          <w:rFonts w:ascii="Arial" w:hAnsi="Arial" w:cs="Arial"/>
          <w:i/>
          <w:color w:val="0F1115"/>
          <w:sz w:val="22"/>
          <w:szCs w:val="22"/>
        </w:rPr>
        <w:t>«</w:t>
      </w:r>
      <w:r w:rsidRPr="00B46DB0">
        <w:rPr>
          <w:rFonts w:ascii="Arial" w:hAnsi="Arial" w:cs="Arial"/>
          <w:i/>
          <w:color w:val="0F1115"/>
          <w:sz w:val="22"/>
          <w:szCs w:val="22"/>
        </w:rPr>
        <w:t>НЭК ТЕХ</w:t>
      </w:r>
      <w:r w:rsidR="00B46DB0">
        <w:rPr>
          <w:rFonts w:ascii="Arial" w:hAnsi="Arial" w:cs="Arial"/>
          <w:i/>
          <w:color w:val="0F1115"/>
          <w:sz w:val="22"/>
          <w:szCs w:val="22"/>
        </w:rPr>
        <w:t>»</w:t>
      </w:r>
      <w:r w:rsidRPr="00B46DB0">
        <w:rPr>
          <w:rFonts w:ascii="Arial" w:hAnsi="Arial" w:cs="Arial"/>
          <w:i/>
          <w:color w:val="0F1115"/>
          <w:sz w:val="22"/>
          <w:szCs w:val="22"/>
        </w:rPr>
        <w:t xml:space="preserve"> станет примером того, как отечественные </w:t>
      </w:r>
      <w:r w:rsidRPr="00B46DB0">
        <w:rPr>
          <w:rFonts w:ascii="Arial" w:hAnsi="Arial" w:cs="Arial"/>
          <w:i/>
          <w:color w:val="0F1115"/>
          <w:sz w:val="22"/>
          <w:szCs w:val="22"/>
        </w:rPr>
        <w:lastRenderedPageBreak/>
        <w:t xml:space="preserve">технологии дополняют друг друга», — </w:t>
      </w:r>
      <w:r w:rsidRPr="00B46DB0">
        <w:rPr>
          <w:rFonts w:ascii="Arial" w:hAnsi="Arial" w:cs="Arial"/>
          <w:color w:val="0F1115"/>
          <w:sz w:val="22"/>
          <w:szCs w:val="22"/>
        </w:rPr>
        <w:t xml:space="preserve">отметил </w:t>
      </w:r>
      <w:r w:rsidRPr="00B46DB0">
        <w:rPr>
          <w:rFonts w:ascii="Arial" w:hAnsi="Arial" w:cs="Arial"/>
          <w:color w:val="0F1115"/>
          <w:sz w:val="22"/>
          <w:szCs w:val="22"/>
        </w:rPr>
        <w:t xml:space="preserve">Михаил </w:t>
      </w:r>
      <w:proofErr w:type="spellStart"/>
      <w:r w:rsidRPr="00B46DB0">
        <w:rPr>
          <w:rFonts w:ascii="Arial" w:hAnsi="Arial" w:cs="Arial"/>
          <w:color w:val="0F1115"/>
          <w:sz w:val="22"/>
          <w:szCs w:val="22"/>
        </w:rPr>
        <w:t>Геллерман</w:t>
      </w:r>
      <w:proofErr w:type="spellEnd"/>
      <w:r w:rsidRPr="00B46DB0">
        <w:rPr>
          <w:rFonts w:ascii="Arial" w:hAnsi="Arial" w:cs="Arial"/>
          <w:color w:val="0F1115"/>
          <w:sz w:val="22"/>
          <w:szCs w:val="22"/>
        </w:rPr>
        <w:t>, директор управления операционных систем «Группы Астра».</w:t>
      </w:r>
    </w:p>
    <w:p w:rsidR="00B46DB0" w:rsidRDefault="008D79AE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Соглашение знаменует собой важный шаг в </w:t>
      </w:r>
      <w:r>
        <w:rPr>
          <w:rFonts w:ascii="Arial" w:hAnsi="Arial" w:cs="Arial"/>
          <w:color w:val="0F1115"/>
          <w:sz w:val="22"/>
          <w:szCs w:val="22"/>
        </w:rPr>
        <w:t>консолидации усилий ведущих отечественных разработчиков для создания надёжных и безопасных решений, обеспечивающих стабильную работу критической инфраструктуры России.</w:t>
      </w:r>
    </w:p>
    <w:p w:rsidR="00B90426" w:rsidRDefault="00B90426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</w:rPr>
      </w:pPr>
    </w:p>
    <w:p w:rsidR="00B46DB0" w:rsidRDefault="00B46DB0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</w:rPr>
      </w:pPr>
    </w:p>
    <w:p w:rsidR="00B46DB0" w:rsidRDefault="00B46DB0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</w:rPr>
      </w:pPr>
    </w:p>
    <w:p w:rsidR="00B46DB0" w:rsidRDefault="00B46DB0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</w:rPr>
      </w:pPr>
    </w:p>
    <w:p w:rsidR="00B46DB0" w:rsidRDefault="00B46DB0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</w:rPr>
      </w:pPr>
    </w:p>
    <w:p w:rsidR="00B46DB0" w:rsidRDefault="00B46DB0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</w:rPr>
      </w:pPr>
    </w:p>
    <w:p w:rsidR="00B46DB0" w:rsidRDefault="00B46DB0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</w:rPr>
      </w:pPr>
    </w:p>
    <w:p w:rsidR="00B46DB0" w:rsidRDefault="00B46DB0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</w:rPr>
      </w:pPr>
    </w:p>
    <w:p w:rsidR="00B46DB0" w:rsidRDefault="00B46DB0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</w:rPr>
      </w:pPr>
    </w:p>
    <w:p w:rsidR="00B46DB0" w:rsidRDefault="00B46DB0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</w:rPr>
      </w:pPr>
    </w:p>
    <w:p w:rsidR="00B46DB0" w:rsidRDefault="00B46DB0" w:rsidP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46DB0" w:rsidRDefault="00B46DB0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eastAsia="Rasa" w:hAnsi="Arial" w:cs="Arial"/>
          <w:b/>
          <w:bCs/>
          <w:color w:val="0F1115"/>
          <w:sz w:val="18"/>
          <w:szCs w:val="18"/>
        </w:rPr>
      </w:pPr>
    </w:p>
    <w:p w:rsidR="00B90426" w:rsidRPr="00B46DB0" w:rsidRDefault="008D79AE">
      <w:pPr>
        <w:pStyle w:val="ds-markdown-paragraph"/>
        <w:shd w:val="clear" w:color="FFFFFF" w:fill="FFFFFF"/>
        <w:spacing w:beforeAutospacing="0" w:after="0" w:afterAutospacing="0"/>
        <w:ind w:firstLine="567"/>
        <w:jc w:val="both"/>
        <w:rPr>
          <w:rFonts w:ascii="Arial" w:hAnsi="Arial" w:cs="Arial"/>
          <w:b/>
          <w:sz w:val="18"/>
          <w:szCs w:val="18"/>
        </w:rPr>
      </w:pPr>
      <w:r w:rsidRPr="00B46DB0">
        <w:rPr>
          <w:rFonts w:ascii="Arial" w:eastAsia="Rasa" w:hAnsi="Arial" w:cs="Arial"/>
          <w:b/>
          <w:bCs/>
          <w:color w:val="0F1115"/>
          <w:sz w:val="18"/>
          <w:szCs w:val="18"/>
        </w:rPr>
        <w:t>О «Группе Астра»</w:t>
      </w:r>
    </w:p>
    <w:p w:rsidR="00B46DB0" w:rsidRDefault="008D79AE">
      <w:pPr>
        <w:pStyle w:val="LO-normal"/>
        <w:widowControl/>
        <w:spacing w:after="160"/>
        <w:jc w:val="both"/>
        <w:rPr>
          <w:rStyle w:val="aa"/>
          <w:rFonts w:ascii="Arial" w:eastAsia="Rasa" w:hAnsi="Arial" w:cs="Arial"/>
          <w:color w:val="0070C0"/>
          <w:sz w:val="18"/>
          <w:szCs w:val="18"/>
        </w:rPr>
      </w:pPr>
      <w:r w:rsidRPr="00B46DB0">
        <w:rPr>
          <w:rFonts w:ascii="Arial" w:eastAsia="Rasa" w:hAnsi="Arial" w:cs="Arial"/>
          <w:sz w:val="18"/>
          <w:szCs w:val="18"/>
        </w:rPr>
        <w:t>«Группа Астра» — один из лидеров российского ИT-рынка, ведущий про</w:t>
      </w:r>
      <w:r w:rsidRPr="00B46DB0">
        <w:rPr>
          <w:rFonts w:ascii="Arial" w:eastAsia="Rasa" w:hAnsi="Arial" w:cs="Arial"/>
          <w:sz w:val="18"/>
          <w:szCs w:val="18"/>
        </w:rPr>
        <w:t xml:space="preserve">изводитель инфраструктурного ПО. По данным рейтинга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TAdviser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 xml:space="preserve">, компания входит в топ-5 самых быстрорастущих компаний России. По версии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Forbes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 xml:space="preserve">, «Группа Астра» входит в топ-15 самых дорогих компаний Рунета. В экосистеме вендора свыше 35 продуктов и сервисов, </w:t>
      </w:r>
      <w:r w:rsidRPr="00B46DB0">
        <w:rPr>
          <w:rFonts w:ascii="Arial" w:eastAsia="Rasa" w:hAnsi="Arial" w:cs="Arial"/>
          <w:sz w:val="18"/>
          <w:szCs w:val="18"/>
        </w:rPr>
        <w:t xml:space="preserve">которые комплексно закрывают потребности заказчиков в стеке инфраструктурного программного обеспечения: сертифицированная операционная система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Astra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 xml:space="preserve">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Linux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 xml:space="preserve">, система управления базами данных (СУБД)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Tantor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>, средства резервного копирования и восстановления дан</w:t>
      </w:r>
      <w:r w:rsidRPr="00B46DB0">
        <w:rPr>
          <w:rFonts w:ascii="Arial" w:eastAsia="Rasa" w:hAnsi="Arial" w:cs="Arial"/>
          <w:sz w:val="18"/>
          <w:szCs w:val="18"/>
        </w:rPr>
        <w:t xml:space="preserve">ных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RuBackup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 xml:space="preserve">, система управления корпоративной почтой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RuPost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 xml:space="preserve">, служба каталога ALD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Pro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 xml:space="preserve">, программное обеспечение для создания инфраструктуры виртуальных рабочих мест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Termidesk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>, комплексное решение для создания и внедрения безопасного ИИ — «Астра ИИ» и др. По</w:t>
      </w:r>
      <w:r w:rsidRPr="00B46DB0">
        <w:rPr>
          <w:rFonts w:ascii="Arial" w:eastAsia="Rasa" w:hAnsi="Arial" w:cs="Arial"/>
          <w:sz w:val="18"/>
          <w:szCs w:val="18"/>
        </w:rPr>
        <w:t xml:space="preserve"> оценкам независимых аналитиков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Strategy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 xml:space="preserve">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Partners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 xml:space="preserve">, в 2024 году «Группа Астра» стала безоговорочным лидером среди российских разработчиков: флагманский продукт — ОС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Astra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 xml:space="preserve"> </w:t>
      </w:r>
      <w:proofErr w:type="spellStart"/>
      <w:r w:rsidRPr="00B46DB0">
        <w:rPr>
          <w:rFonts w:ascii="Arial" w:eastAsia="Rasa" w:hAnsi="Arial" w:cs="Arial"/>
          <w:sz w:val="18"/>
          <w:szCs w:val="18"/>
        </w:rPr>
        <w:t>Linux</w:t>
      </w:r>
      <w:proofErr w:type="spellEnd"/>
      <w:r w:rsidRPr="00B46DB0">
        <w:rPr>
          <w:rFonts w:ascii="Arial" w:eastAsia="Rasa" w:hAnsi="Arial" w:cs="Arial"/>
          <w:sz w:val="18"/>
          <w:szCs w:val="18"/>
        </w:rPr>
        <w:t xml:space="preserve"> – занимает 76% рынка российских операционных систем, а доля компании в сегменте </w:t>
      </w:r>
      <w:r w:rsidRPr="00B46DB0">
        <w:rPr>
          <w:rFonts w:ascii="Arial" w:eastAsia="Rasa" w:hAnsi="Arial" w:cs="Arial"/>
          <w:sz w:val="18"/>
          <w:szCs w:val="18"/>
        </w:rPr>
        <w:t>отечественного инфраструктурного ПО оценивается в 21%.</w:t>
      </w:r>
      <w:r w:rsidR="00B46DB0">
        <w:rPr>
          <w:rFonts w:ascii="Arial" w:eastAsia="Rasa" w:hAnsi="Arial" w:cs="Arial"/>
          <w:sz w:val="18"/>
          <w:szCs w:val="18"/>
        </w:rPr>
        <w:t xml:space="preserve"> </w:t>
      </w:r>
      <w:hyperlink r:id="rId7">
        <w:r w:rsidRPr="00B46DB0">
          <w:rPr>
            <w:rStyle w:val="aa"/>
            <w:rFonts w:ascii="Arial" w:eastAsia="Rasa" w:hAnsi="Arial" w:cs="Arial"/>
            <w:color w:val="0070C0"/>
            <w:sz w:val="18"/>
            <w:szCs w:val="18"/>
          </w:rPr>
          <w:t>https://astra.ru</w:t>
        </w:r>
      </w:hyperlink>
    </w:p>
    <w:sectPr w:rsidR="00B46D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24" w:right="849" w:bottom="1134" w:left="1276" w:header="567" w:footer="60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79AE" w:rsidRDefault="008D79AE">
      <w:pPr>
        <w:spacing w:after="0" w:line="240" w:lineRule="auto"/>
      </w:pPr>
      <w:r>
        <w:separator/>
      </w:r>
    </w:p>
  </w:endnote>
  <w:endnote w:type="continuationSeparator" w:id="0">
    <w:p w:rsidR="008D79AE" w:rsidRDefault="008D7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 Text">
    <w:panose1 w:val="020B0503020202020204"/>
    <w:charset w:val="CC"/>
    <w:family w:val="swiss"/>
    <w:pitch w:val="variable"/>
    <w:sig w:usb0="A000026F" w:usb1="100000EB" w:usb2="00000008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Cambria"/>
    <w:charset w:val="00"/>
    <w:family w:val="auto"/>
    <w:pitch w:val="default"/>
  </w:font>
  <w:font w:name="FreeSans">
    <w:altName w:val="Calibri"/>
    <w:charset w:val="00"/>
    <w:family w:val="auto"/>
    <w:pitch w:val="default"/>
  </w:font>
  <w:font w:name="Ras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426" w:rsidRDefault="00B90426">
    <w:pPr>
      <w:pStyle w:val="af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426" w:rsidRDefault="008D79AE">
    <w:pPr>
      <w:spacing w:after="0" w:line="240" w:lineRule="auto"/>
      <w:jc w:val="both"/>
      <w:rPr>
        <w:rFonts w:ascii="Golos Text" w:hAnsi="Golos Text" w:cs="Arial"/>
        <w:sz w:val="16"/>
        <w:szCs w:val="16"/>
      </w:rPr>
    </w:pPr>
    <w:r>
      <w:rPr>
        <w:rFonts w:ascii="Golos Text" w:hAnsi="Golos Text" w:cs="Arial"/>
        <w:b/>
        <w:sz w:val="16"/>
        <w:szCs w:val="16"/>
      </w:rPr>
      <w:t xml:space="preserve">ООО «НЭК ТЕХ» </w:t>
    </w:r>
    <w:r>
      <w:rPr>
        <w:rFonts w:ascii="Golos Text" w:hAnsi="Golos Text" w:cs="Arial"/>
        <w:sz w:val="16"/>
        <w:szCs w:val="16"/>
      </w:rPr>
      <w:t xml:space="preserve">является частью Группы «НЭК» (АО «Национальная энергетическая компания») и аккредитованной ИТ-компанией, которая осуществляет научно-исследовательскую, </w:t>
    </w:r>
    <w:r>
      <w:rPr>
        <w:rFonts w:ascii="Golos Text" w:hAnsi="Golos Text" w:cs="Arial"/>
        <w:sz w:val="16"/>
        <w:szCs w:val="16"/>
      </w:rPr>
      <w:t xml:space="preserve">опытно-конструкторскую деятельность, разработку электронной компонентной базы, электронной продукции, технических регламентов и нормативной документации, а также телекоммуникационных систем, </w:t>
    </w:r>
    <w:proofErr w:type="spellStart"/>
    <w:r>
      <w:rPr>
        <w:rFonts w:ascii="Golos Text" w:hAnsi="Golos Text" w:cs="Arial"/>
        <w:sz w:val="16"/>
        <w:szCs w:val="16"/>
      </w:rPr>
      <w:t>защищенных</w:t>
    </w:r>
    <w:proofErr w:type="spellEnd"/>
    <w:r>
      <w:rPr>
        <w:rFonts w:ascii="Golos Text" w:hAnsi="Golos Text" w:cs="Arial"/>
        <w:sz w:val="16"/>
        <w:szCs w:val="16"/>
      </w:rPr>
      <w:t xml:space="preserve"> с использованием криптографических средств защиты инфо</w:t>
    </w:r>
    <w:r>
      <w:rPr>
        <w:rFonts w:ascii="Golos Text" w:hAnsi="Golos Text" w:cs="Arial"/>
        <w:sz w:val="16"/>
        <w:szCs w:val="16"/>
      </w:rPr>
      <w:t>рмации.</w:t>
    </w:r>
    <w:r>
      <w:t xml:space="preserve"> </w:t>
    </w:r>
    <w:hyperlink r:id="rId1" w:tooltip="https://nectech.pro/">
      <w:r>
        <w:rPr>
          <w:rStyle w:val="aa"/>
          <w:rFonts w:ascii="Golos Text" w:hAnsi="Golos Text" w:cs="Arial"/>
          <w:sz w:val="16"/>
          <w:szCs w:val="16"/>
        </w:rPr>
        <w:t>https://nectech.pro/</w:t>
      </w:r>
    </w:hyperlink>
    <w:r>
      <w:rPr>
        <w:rFonts w:ascii="Golos Text" w:hAnsi="Golos Text" w:cs="Arial"/>
        <w:sz w:val="16"/>
        <w:szCs w:val="16"/>
      </w:rPr>
      <w:t xml:space="preserve"> </w:t>
    </w:r>
  </w:p>
  <w:p w:rsidR="00B90426" w:rsidRDefault="008D79AE">
    <w:pPr>
      <w:rPr>
        <w:rFonts w:ascii="Golos Text" w:hAnsi="Golos Text" w:cs="Arial"/>
        <w:sz w:val="16"/>
        <w:szCs w:val="16"/>
        <w:lang w:val="en-US"/>
      </w:rPr>
    </w:pPr>
    <w:r>
      <w:rPr>
        <w:rFonts w:ascii="Golos Text" w:hAnsi="Golos Text" w:cs="Arial"/>
        <w:b/>
        <w:sz w:val="16"/>
        <w:szCs w:val="16"/>
      </w:rPr>
      <w:t xml:space="preserve">Группа «НЭК» (АО «Национальная энергетическая компания») </w:t>
    </w:r>
    <w:r>
      <w:rPr>
        <w:rFonts w:ascii="Golos Text" w:hAnsi="Golos Text" w:cs="Arial"/>
        <w:sz w:val="16"/>
        <w:szCs w:val="16"/>
      </w:rPr>
      <w:t xml:space="preserve">– это объединение предприятий, которые производят инновационные российские продукты и оказывают услуги </w:t>
    </w:r>
    <w:r>
      <w:rPr>
        <w:rFonts w:ascii="Golos Text" w:hAnsi="Golos Text" w:cs="Arial"/>
        <w:sz w:val="16"/>
        <w:szCs w:val="16"/>
      </w:rPr>
      <w:t>для электроэнергетики и промышленности. Сегодня в Группу входят предприятия: ООО «Юнител Инжиниринг», ООО «Мосэлектрощит», ООО «НТЗМК», ООО «Энхим», ООО «НЭК.ТЕХ», ООО «ИНКОНТРОЛ», ООО «РТК-ЭЛЕКТРО-М», дивизион «</w:t>
    </w:r>
    <w:proofErr w:type="spellStart"/>
    <w:r>
      <w:rPr>
        <w:rFonts w:ascii="Golos Text" w:hAnsi="Golos Text" w:cs="Arial"/>
        <w:sz w:val="16"/>
        <w:szCs w:val="16"/>
      </w:rPr>
      <w:t>НЭК.Высоковольтные</w:t>
    </w:r>
    <w:proofErr w:type="spellEnd"/>
    <w:r>
      <w:rPr>
        <w:rFonts w:ascii="Golos Text" w:hAnsi="Golos Text" w:cs="Arial"/>
        <w:sz w:val="16"/>
        <w:szCs w:val="16"/>
      </w:rPr>
      <w:t xml:space="preserve"> решения» – «НЭК.ВВР» (вхо</w:t>
    </w:r>
    <w:r>
      <w:rPr>
        <w:rFonts w:ascii="Golos Text" w:hAnsi="Golos Text" w:cs="Arial"/>
        <w:sz w:val="16"/>
        <w:szCs w:val="16"/>
      </w:rPr>
      <w:t xml:space="preserve">дят ООО «Эйч </w:t>
    </w:r>
    <w:proofErr w:type="spellStart"/>
    <w:r>
      <w:rPr>
        <w:rFonts w:ascii="Golos Text" w:hAnsi="Golos Text" w:cs="Arial"/>
        <w:sz w:val="16"/>
        <w:szCs w:val="16"/>
      </w:rPr>
      <w:t>Энерджи</w:t>
    </w:r>
    <w:proofErr w:type="spellEnd"/>
    <w:r>
      <w:rPr>
        <w:rFonts w:ascii="Golos Text" w:hAnsi="Golos Text" w:cs="Arial"/>
        <w:sz w:val="16"/>
        <w:szCs w:val="16"/>
      </w:rPr>
      <w:t>» и ООО «ЛЗВО») и  дивизион «НЭК. Компоненты и интеллектуальные технологии» – «НЭК.КИТ» (входят ООО «Завод НАРТИС», ООО «Электрощит-К°», ООО «Луч», ООО «Энергосбыт Технологии») с совокупной выручкой, превышающей 96 млрд рублей и с колич</w:t>
    </w:r>
    <w:r>
      <w:rPr>
        <w:rFonts w:ascii="Golos Text" w:hAnsi="Golos Text" w:cs="Arial"/>
        <w:sz w:val="16"/>
        <w:szCs w:val="16"/>
      </w:rPr>
      <w:t xml:space="preserve">еством персонала свыше 4,6 тыс. человек. Официальный сайт компании: </w:t>
    </w:r>
    <w:hyperlink r:id="rId2" w:tooltip="http://www.nec.pro">
      <w:r>
        <w:rPr>
          <w:rStyle w:val="aa"/>
          <w:rFonts w:ascii="Golos Text" w:hAnsi="Golos Text" w:cs="Arial"/>
          <w:sz w:val="16"/>
          <w:szCs w:val="16"/>
        </w:rPr>
        <w:t>www.nec.pro</w:t>
      </w:r>
    </w:hyperlink>
    <w:r>
      <w:rPr>
        <w:rFonts w:ascii="Golos Text" w:hAnsi="Golos Text" w:cs="Arial"/>
        <w:sz w:val="16"/>
        <w:szCs w:val="16"/>
        <w:lang w:val="en-US"/>
      </w:rPr>
      <w:t xml:space="preserve"> </w:t>
    </w:r>
  </w:p>
  <w:p w:rsidR="00B90426" w:rsidRDefault="00B90426">
    <w:pPr>
      <w:spacing w:after="0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426" w:rsidRDefault="008D79AE">
    <w:pPr>
      <w:spacing w:after="0" w:line="240" w:lineRule="auto"/>
      <w:jc w:val="both"/>
      <w:rPr>
        <w:rFonts w:ascii="Golos Text" w:hAnsi="Golos Text" w:cs="Arial"/>
        <w:sz w:val="16"/>
        <w:szCs w:val="16"/>
      </w:rPr>
    </w:pPr>
    <w:r>
      <w:rPr>
        <w:rFonts w:ascii="Golos Text" w:hAnsi="Golos Text" w:cs="Arial"/>
        <w:b/>
        <w:sz w:val="16"/>
        <w:szCs w:val="16"/>
      </w:rPr>
      <w:t xml:space="preserve">ООО «НЭК ТЕХ» </w:t>
    </w:r>
    <w:r>
      <w:rPr>
        <w:rFonts w:ascii="Golos Text" w:hAnsi="Golos Text" w:cs="Arial"/>
        <w:sz w:val="16"/>
        <w:szCs w:val="16"/>
      </w:rPr>
      <w:t>является частью Группы «НЭК» (АО «Национальная энергетическая компания») и аккредитованной ИТ-ком</w:t>
    </w:r>
    <w:r>
      <w:rPr>
        <w:rFonts w:ascii="Golos Text" w:hAnsi="Golos Text" w:cs="Arial"/>
        <w:sz w:val="16"/>
        <w:szCs w:val="16"/>
      </w:rPr>
      <w:t xml:space="preserve">панией, которая осуществляет научно-исследовательскую, опытно-конструкторскую деятельность, разработку электронной компонентной базы, электронной продукции, технических регламентов и нормативной документации, а также телекоммуникационных систем, </w:t>
    </w:r>
    <w:proofErr w:type="spellStart"/>
    <w:r>
      <w:rPr>
        <w:rFonts w:ascii="Golos Text" w:hAnsi="Golos Text" w:cs="Arial"/>
        <w:sz w:val="16"/>
        <w:szCs w:val="16"/>
      </w:rPr>
      <w:t>защищенных</w:t>
    </w:r>
    <w:proofErr w:type="spellEnd"/>
    <w:r>
      <w:rPr>
        <w:rFonts w:ascii="Golos Text" w:hAnsi="Golos Text" w:cs="Arial"/>
        <w:sz w:val="16"/>
        <w:szCs w:val="16"/>
      </w:rPr>
      <w:t xml:space="preserve"> с использованием криптографических средств защиты информации.</w:t>
    </w:r>
    <w:r>
      <w:t xml:space="preserve"> </w:t>
    </w:r>
    <w:hyperlink r:id="rId1" w:tooltip="https://nectech.pro/">
      <w:r>
        <w:rPr>
          <w:rStyle w:val="aa"/>
          <w:rFonts w:ascii="Golos Text" w:hAnsi="Golos Text" w:cs="Arial"/>
          <w:sz w:val="16"/>
          <w:szCs w:val="16"/>
        </w:rPr>
        <w:t>https://nectech.pro/</w:t>
      </w:r>
    </w:hyperlink>
    <w:r>
      <w:rPr>
        <w:rFonts w:ascii="Golos Text" w:hAnsi="Golos Text" w:cs="Arial"/>
        <w:sz w:val="16"/>
        <w:szCs w:val="16"/>
      </w:rPr>
      <w:t xml:space="preserve"> </w:t>
    </w:r>
  </w:p>
  <w:p w:rsidR="00B90426" w:rsidRDefault="008D79AE">
    <w:pPr>
      <w:rPr>
        <w:rFonts w:ascii="Golos Text" w:hAnsi="Golos Text" w:cs="Arial"/>
        <w:sz w:val="16"/>
        <w:szCs w:val="16"/>
        <w:lang w:val="en-US"/>
      </w:rPr>
    </w:pPr>
    <w:r>
      <w:rPr>
        <w:rFonts w:ascii="Golos Text" w:hAnsi="Golos Text" w:cs="Arial"/>
        <w:b/>
        <w:sz w:val="16"/>
        <w:szCs w:val="16"/>
      </w:rPr>
      <w:t xml:space="preserve">Группа «НЭК» (АО «Национальная энергетическая компания») </w:t>
    </w:r>
    <w:r>
      <w:rPr>
        <w:rFonts w:ascii="Golos Text" w:hAnsi="Golos Text" w:cs="Arial"/>
        <w:sz w:val="16"/>
        <w:szCs w:val="16"/>
      </w:rPr>
      <w:t>– это объединение предприятий, которые производя</w:t>
    </w:r>
    <w:r>
      <w:rPr>
        <w:rFonts w:ascii="Golos Text" w:hAnsi="Golos Text" w:cs="Arial"/>
        <w:sz w:val="16"/>
        <w:szCs w:val="16"/>
      </w:rPr>
      <w:t>т инновационные российские продукты и оказывают услуги для электроэнергетики и промышленности. Сегодня в Группу входят предприятия: ООО «Юнител Инжиниринг», ООО «Мосэлектрощит», ООО «НТЗМК», ООО «Энхим», ООО «НЭК.ТЕХ», ООО «ИНКОНТРОЛ», ООО «РТК-ЭЛЕКТРО-М»,</w:t>
    </w:r>
    <w:r>
      <w:rPr>
        <w:rFonts w:ascii="Golos Text" w:hAnsi="Golos Text" w:cs="Arial"/>
        <w:sz w:val="16"/>
        <w:szCs w:val="16"/>
      </w:rPr>
      <w:t xml:space="preserve"> дивизион «</w:t>
    </w:r>
    <w:proofErr w:type="spellStart"/>
    <w:r>
      <w:rPr>
        <w:rFonts w:ascii="Golos Text" w:hAnsi="Golos Text" w:cs="Arial"/>
        <w:sz w:val="16"/>
        <w:szCs w:val="16"/>
      </w:rPr>
      <w:t>НЭК.Высоковольтные</w:t>
    </w:r>
    <w:proofErr w:type="spellEnd"/>
    <w:r>
      <w:rPr>
        <w:rFonts w:ascii="Golos Text" w:hAnsi="Golos Text" w:cs="Arial"/>
        <w:sz w:val="16"/>
        <w:szCs w:val="16"/>
      </w:rPr>
      <w:t xml:space="preserve"> решения» – «НЭК.ВВР» (входят ООО «Эйч </w:t>
    </w:r>
    <w:proofErr w:type="spellStart"/>
    <w:r>
      <w:rPr>
        <w:rFonts w:ascii="Golos Text" w:hAnsi="Golos Text" w:cs="Arial"/>
        <w:sz w:val="16"/>
        <w:szCs w:val="16"/>
      </w:rPr>
      <w:t>Энерджи</w:t>
    </w:r>
    <w:proofErr w:type="spellEnd"/>
    <w:r>
      <w:rPr>
        <w:rFonts w:ascii="Golos Text" w:hAnsi="Golos Text" w:cs="Arial"/>
        <w:sz w:val="16"/>
        <w:szCs w:val="16"/>
      </w:rPr>
      <w:t>» и ООО «ЛЗВО») и  дивизион «НЭК. Компоненты и интеллектуальные технологии» – «НЭК.КИТ» (входят ООО «Завод НАРТИС», ООО «Электрощит-К°», ООО «Луч», ООО «Энергосбыт Технологии») с со</w:t>
    </w:r>
    <w:r>
      <w:rPr>
        <w:rFonts w:ascii="Golos Text" w:hAnsi="Golos Text" w:cs="Arial"/>
        <w:sz w:val="16"/>
        <w:szCs w:val="16"/>
      </w:rPr>
      <w:t xml:space="preserve">вокупной выручкой, превышающей 96 млрд рублей и с количеством персонала свыше 4,6 тыс. человек. Официальный сайт компании: </w:t>
    </w:r>
    <w:hyperlink r:id="rId2" w:tooltip="http://www.nec.pro">
      <w:r>
        <w:rPr>
          <w:rStyle w:val="aa"/>
          <w:rFonts w:ascii="Golos Text" w:hAnsi="Golos Text" w:cs="Arial"/>
          <w:sz w:val="16"/>
          <w:szCs w:val="16"/>
        </w:rPr>
        <w:t>www.nec.pro</w:t>
      </w:r>
    </w:hyperlink>
    <w:r>
      <w:rPr>
        <w:rFonts w:ascii="Golos Text" w:hAnsi="Golos Text" w:cs="Arial"/>
        <w:sz w:val="16"/>
        <w:szCs w:val="16"/>
        <w:lang w:val="en-US"/>
      </w:rPr>
      <w:t xml:space="preserve"> </w:t>
    </w:r>
  </w:p>
  <w:p w:rsidR="00B90426" w:rsidRDefault="00B90426">
    <w:pPr>
      <w:spacing w:after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79AE" w:rsidRDefault="008D79AE">
      <w:pPr>
        <w:spacing w:after="0" w:line="240" w:lineRule="auto"/>
      </w:pPr>
      <w:r>
        <w:separator/>
      </w:r>
    </w:p>
  </w:footnote>
  <w:footnote w:type="continuationSeparator" w:id="0">
    <w:p w:rsidR="008D79AE" w:rsidRDefault="008D7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426" w:rsidRDefault="00B90426">
    <w:pPr>
      <w:pStyle w:val="a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28" w:type="dxa"/>
      <w:tblInd w:w="137" w:type="dxa"/>
      <w:tblLayout w:type="fixed"/>
      <w:tblLook w:val="04A0" w:firstRow="1" w:lastRow="0" w:firstColumn="1" w:lastColumn="0" w:noHBand="0" w:noVBand="1"/>
    </w:tblPr>
    <w:tblGrid>
      <w:gridCol w:w="5022"/>
      <w:gridCol w:w="4606"/>
    </w:tblGrid>
    <w:tr w:rsidR="00B90426">
      <w:tc>
        <w:tcPr>
          <w:tcW w:w="5021" w:type="dxa"/>
          <w:tcBorders>
            <w:top w:val="nil"/>
            <w:left w:val="nil"/>
            <w:bottom w:val="nil"/>
            <w:right w:val="nil"/>
          </w:tcBorders>
        </w:tcPr>
        <w:p w:rsidR="00B90426" w:rsidRDefault="008D79AE">
          <w:pPr>
            <w:pStyle w:val="aff1"/>
            <w:ind w:left="-98"/>
            <w:jc w:val="both"/>
          </w:pPr>
          <w:r>
            <w:rPr>
              <w:noProof/>
            </w:rPr>
            <w:drawing>
              <wp:inline distT="0" distB="0" distL="0" distR="0">
                <wp:extent cx="2758440" cy="613410"/>
                <wp:effectExtent l="0" t="0" r="0" b="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58440" cy="6134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B90426" w:rsidRDefault="008D79AE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b/>
              <w:color w:val="000000"/>
              <w:shd w:val="clear" w:color="auto" w:fill="FFFFFF"/>
            </w:rPr>
          </w:pPr>
          <w:r>
            <w:rPr>
              <w:rFonts w:ascii="Golos Text" w:hAnsi="Golos Text" w:cs="Golos Text"/>
              <w:b/>
              <w:color w:val="000000" w:themeColor="text1"/>
              <w:shd w:val="clear" w:color="auto" w:fill="FFFFFF"/>
            </w:rPr>
            <w:t>ООО «НЭК ТЕХ»</w:t>
          </w:r>
        </w:p>
        <w:p w:rsidR="00B90426" w:rsidRDefault="00B90426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color w:val="000000"/>
              <w:shd w:val="clear" w:color="auto" w:fill="FFFFFF"/>
            </w:rPr>
          </w:pPr>
        </w:p>
        <w:p w:rsidR="00B90426" w:rsidRDefault="008D79AE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color w:val="000000"/>
              <w:shd w:val="clear" w:color="auto" w:fill="FFFFFF"/>
            </w:rPr>
          </w:pPr>
          <w:r>
            <w:rPr>
              <w:rFonts w:ascii="Golos Text" w:hAnsi="Golos Text" w:cs="Golos Text"/>
              <w:color w:val="000000" w:themeColor="text1"/>
              <w:shd w:val="clear" w:color="auto" w:fill="FFFFFF"/>
            </w:rPr>
            <w:t xml:space="preserve">г. </w:t>
          </w:r>
          <w:r>
            <w:rPr>
              <w:rFonts w:ascii="Golos Text" w:hAnsi="Golos Text" w:cs="Golos Text"/>
              <w:color w:val="000000" w:themeColor="text1"/>
              <w:shd w:val="clear" w:color="auto" w:fill="FFFFFF"/>
            </w:rPr>
            <w:t>Санкт-Петербург,</w:t>
          </w:r>
        </w:p>
        <w:p w:rsidR="00B90426" w:rsidRDefault="008D79AE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color w:val="000000"/>
              <w:shd w:val="clear" w:color="auto" w:fill="FFFFFF"/>
            </w:rPr>
          </w:pPr>
          <w:r>
            <w:rPr>
              <w:rFonts w:ascii="Golos Text" w:hAnsi="Golos Text" w:cs="Golos Text"/>
              <w:color w:val="000000" w:themeColor="text1"/>
              <w:shd w:val="clear" w:color="auto" w:fill="FFFFFF"/>
            </w:rPr>
            <w:t>ул. Савушкина, д. 126, литера А</w:t>
          </w:r>
        </w:p>
        <w:p w:rsidR="00B90426" w:rsidRDefault="008D79AE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color w:val="000000"/>
              <w:shd w:val="clear" w:color="auto" w:fill="FFFFFF"/>
            </w:rPr>
          </w:pPr>
          <w:r>
            <w:rPr>
              <w:rFonts w:ascii="Golos Text" w:hAnsi="Golos Text" w:cs="Golos Text"/>
              <w:color w:val="000000" w:themeColor="text1"/>
              <w:shd w:val="clear" w:color="auto" w:fill="FFFFFF"/>
            </w:rPr>
            <w:t>+7 (812) 448-56-98</w:t>
          </w:r>
        </w:p>
        <w:p w:rsidR="00B90426" w:rsidRDefault="008D79AE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color w:val="000000"/>
              <w:shd w:val="clear" w:color="auto" w:fill="FFFFFF"/>
            </w:rPr>
          </w:pPr>
          <w:hyperlink r:id="rId2" w:tooltip="https://nectech.pro/">
            <w:r>
              <w:rPr>
                <w:rFonts w:ascii="Golos Text" w:hAnsi="Golos Text" w:cs="Golos Text"/>
                <w:color w:val="000000" w:themeColor="text1"/>
                <w:shd w:val="clear" w:color="auto" w:fill="FFFFFF"/>
              </w:rPr>
              <w:t>https://nectech.pro</w:t>
            </w:r>
          </w:hyperlink>
          <w:r>
            <w:rPr>
              <w:rFonts w:ascii="Golos Text" w:hAnsi="Golos Text" w:cs="Golos Text"/>
              <w:color w:val="000000" w:themeColor="text1"/>
              <w:shd w:val="clear" w:color="auto" w:fill="FFFFFF"/>
            </w:rPr>
            <w:t xml:space="preserve"> </w:t>
          </w:r>
        </w:p>
      </w:tc>
    </w:tr>
  </w:tbl>
  <w:p w:rsidR="00B90426" w:rsidRDefault="00B90426">
    <w:pPr>
      <w:pStyle w:val="a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28" w:type="dxa"/>
      <w:tblInd w:w="137" w:type="dxa"/>
      <w:tblLayout w:type="fixed"/>
      <w:tblLook w:val="04A0" w:firstRow="1" w:lastRow="0" w:firstColumn="1" w:lastColumn="0" w:noHBand="0" w:noVBand="1"/>
    </w:tblPr>
    <w:tblGrid>
      <w:gridCol w:w="5021"/>
      <w:gridCol w:w="4606"/>
    </w:tblGrid>
    <w:tr w:rsidR="00B90426">
      <w:tc>
        <w:tcPr>
          <w:tcW w:w="5021" w:type="dxa"/>
          <w:tcBorders>
            <w:top w:val="nil"/>
            <w:left w:val="nil"/>
            <w:bottom w:val="nil"/>
            <w:right w:val="nil"/>
          </w:tcBorders>
        </w:tcPr>
        <w:p w:rsidR="00B90426" w:rsidRDefault="008D79AE">
          <w:pPr>
            <w:pStyle w:val="aff1"/>
            <w:ind w:left="-98"/>
            <w:jc w:val="both"/>
          </w:pPr>
          <w:r>
            <w:rPr>
              <w:noProof/>
            </w:rPr>
            <w:drawing>
              <wp:inline distT="0" distB="0" distL="0" distR="0">
                <wp:extent cx="2758440" cy="613410"/>
                <wp:effectExtent l="0" t="0" r="0" b="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58440" cy="6134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:rsidR="00B90426" w:rsidRDefault="008D79AE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b/>
              <w:color w:val="000000"/>
              <w:shd w:val="clear" w:color="auto" w:fill="FFFFFF"/>
            </w:rPr>
          </w:pPr>
          <w:r>
            <w:rPr>
              <w:rFonts w:ascii="Golos Text" w:hAnsi="Golos Text" w:cs="Golos Text"/>
              <w:b/>
              <w:color w:val="000000" w:themeColor="text1"/>
              <w:shd w:val="clear" w:color="auto" w:fill="FFFFFF"/>
            </w:rPr>
            <w:t>ООО «НЭК ТЕХ»</w:t>
          </w:r>
        </w:p>
        <w:p w:rsidR="00B90426" w:rsidRDefault="00B90426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color w:val="000000"/>
              <w:shd w:val="clear" w:color="auto" w:fill="FFFFFF"/>
            </w:rPr>
          </w:pPr>
        </w:p>
        <w:p w:rsidR="00B90426" w:rsidRDefault="008D79AE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color w:val="000000"/>
              <w:shd w:val="clear" w:color="auto" w:fill="FFFFFF"/>
            </w:rPr>
          </w:pPr>
          <w:r>
            <w:rPr>
              <w:rFonts w:ascii="Golos Text" w:hAnsi="Golos Text" w:cs="Golos Text"/>
              <w:color w:val="000000" w:themeColor="text1"/>
              <w:shd w:val="clear" w:color="auto" w:fill="FFFFFF"/>
            </w:rPr>
            <w:t>г. Санкт-Петербург,</w:t>
          </w:r>
        </w:p>
        <w:p w:rsidR="00B90426" w:rsidRDefault="008D79AE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color w:val="000000"/>
              <w:shd w:val="clear" w:color="auto" w:fill="FFFFFF"/>
            </w:rPr>
          </w:pPr>
          <w:r>
            <w:rPr>
              <w:rFonts w:ascii="Golos Text" w:hAnsi="Golos Text" w:cs="Golos Text"/>
              <w:color w:val="000000" w:themeColor="text1"/>
              <w:shd w:val="clear" w:color="auto" w:fill="FFFFFF"/>
            </w:rPr>
            <w:t>ул. Савушкина, д. 126, литера А</w:t>
          </w:r>
        </w:p>
        <w:p w:rsidR="00B90426" w:rsidRDefault="008D79AE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color w:val="000000"/>
              <w:shd w:val="clear" w:color="auto" w:fill="FFFFFF"/>
            </w:rPr>
          </w:pPr>
          <w:r>
            <w:rPr>
              <w:rFonts w:ascii="Golos Text" w:hAnsi="Golos Text" w:cs="Golos Text"/>
              <w:color w:val="000000" w:themeColor="text1"/>
              <w:shd w:val="clear" w:color="auto" w:fill="FFFFFF"/>
            </w:rPr>
            <w:t>+7 (812) 448-56-98</w:t>
          </w:r>
        </w:p>
        <w:p w:rsidR="00B90426" w:rsidRDefault="008D79AE">
          <w:pPr>
            <w:shd w:val="clear" w:color="FFFFFF" w:fill="FFFFFF"/>
            <w:spacing w:after="0" w:line="240" w:lineRule="auto"/>
            <w:jc w:val="right"/>
            <w:rPr>
              <w:rFonts w:ascii="Golos Text" w:hAnsi="Golos Text" w:cs="Golos Text"/>
              <w:color w:val="000000"/>
              <w:shd w:val="clear" w:color="auto" w:fill="FFFFFF"/>
            </w:rPr>
          </w:pPr>
          <w:hyperlink r:id="rId2" w:tooltip="https://nectech.pro/">
            <w:r>
              <w:rPr>
                <w:rFonts w:ascii="Golos Text" w:hAnsi="Golos Text" w:cs="Golos Text"/>
                <w:color w:val="000000" w:themeColor="text1"/>
                <w:shd w:val="clear" w:color="auto" w:fill="FFFFFF"/>
              </w:rPr>
              <w:t>https://nectech.pro</w:t>
            </w:r>
          </w:hyperlink>
          <w:r>
            <w:rPr>
              <w:rFonts w:ascii="Golos Text" w:hAnsi="Golos Text" w:cs="Golos Text"/>
              <w:color w:val="000000" w:themeColor="text1"/>
              <w:shd w:val="clear" w:color="auto" w:fill="FFFFFF"/>
            </w:rPr>
            <w:t xml:space="preserve"> </w:t>
          </w:r>
        </w:p>
      </w:tc>
    </w:tr>
  </w:tbl>
  <w:p w:rsidR="00B90426" w:rsidRDefault="00B90426">
    <w:pPr>
      <w:pStyle w:val="af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426"/>
    <w:rsid w:val="008D79AE"/>
    <w:rsid w:val="00B46DB0"/>
    <w:rsid w:val="00B90426"/>
    <w:rsid w:val="00C2758C"/>
    <w:rsid w:val="00E1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B5C73"/>
  <w15:docId w15:val="{13B7635D-8121-489F-AA10-EFD369A0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 Light" w:eastAsia="Calibri Light" w:hAnsi="Calibri Light" w:cs="Calibri Light"/>
      <w:color w:val="2F5496" w:themeColor="accent1" w:themeShade="BF"/>
      <w:sz w:val="26"/>
      <w:szCs w:val="26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Символ сноски"/>
    <w:uiPriority w:val="99"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customStyle="1" w:styleId="a7">
    <w:name w:val="НЭК.ТЕХ Знак"/>
    <w:basedOn w:val="a0"/>
    <w:qFormat/>
    <w:rPr>
      <w:rFonts w:ascii="Golos Text" w:hAnsi="Golos Text" w:cs="Golos Text"/>
    </w:rPr>
  </w:style>
  <w:style w:type="character" w:customStyle="1" w:styleId="a8">
    <w:name w:val="Верхний колонтитул Знак"/>
    <w:basedOn w:val="a0"/>
    <w:uiPriority w:val="99"/>
    <w:qFormat/>
  </w:style>
  <w:style w:type="character" w:customStyle="1" w:styleId="a9">
    <w:name w:val="Нижний колонтитул Знак"/>
    <w:basedOn w:val="a0"/>
    <w:uiPriority w:val="99"/>
    <w:qFormat/>
  </w:style>
  <w:style w:type="character" w:styleId="aa">
    <w:name w:val="Hyperlink"/>
    <w:basedOn w:val="a0"/>
    <w:uiPriority w:val="99"/>
    <w:unhideWhenUsed/>
    <w:rPr>
      <w:color w:val="0000FF"/>
      <w:u w:val="single"/>
    </w:rPr>
  </w:style>
  <w:style w:type="character" w:customStyle="1" w:styleId="ab">
    <w:name w:val="Основной текст с отступом Знак"/>
    <w:basedOn w:val="a0"/>
    <w:uiPriority w:val="99"/>
    <w:qFormat/>
    <w:rPr>
      <w:rFonts w:ascii="Arial" w:hAnsi="Arial" w:cs="Arial"/>
    </w:rPr>
  </w:style>
  <w:style w:type="character" w:styleId="ac">
    <w:name w:val="Strong"/>
    <w:basedOn w:val="a0"/>
    <w:uiPriority w:val="22"/>
    <w:qFormat/>
    <w:rPr>
      <w:b/>
      <w:bCs/>
    </w:rPr>
  </w:style>
  <w:style w:type="character" w:customStyle="1" w:styleId="20">
    <w:name w:val="Основной текст с отступом 2 Знак"/>
    <w:basedOn w:val="a0"/>
    <w:uiPriority w:val="99"/>
    <w:qFormat/>
    <w:rPr>
      <w:rFonts w:ascii="Arial" w:hAnsi="Arial" w:cs="Arial"/>
      <w:color w:val="000000"/>
      <w:sz w:val="24"/>
      <w:szCs w:val="24"/>
    </w:rPr>
  </w:style>
  <w:style w:type="character" w:customStyle="1" w:styleId="30">
    <w:name w:val="Основной текст с отступом 3 Знак"/>
    <w:basedOn w:val="a0"/>
    <w:uiPriority w:val="99"/>
    <w:qFormat/>
    <w:rPr>
      <w:rFonts w:ascii="Arial" w:hAnsi="Arial" w:cs="Arial"/>
      <w:color w:val="000000"/>
    </w:rPr>
  </w:style>
  <w:style w:type="character" w:customStyle="1" w:styleId="ad">
    <w:name w:val="Основной текст Знак"/>
    <w:basedOn w:val="a0"/>
    <w:uiPriority w:val="99"/>
    <w:qFormat/>
  </w:style>
  <w:style w:type="character" w:customStyle="1" w:styleId="21">
    <w:name w:val="Основной текст 2 Знак"/>
    <w:basedOn w:val="a0"/>
    <w:uiPriority w:val="99"/>
    <w:qFormat/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uiPriority w:val="9"/>
    <w:qFormat/>
    <w:rPr>
      <w:b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customStyle="1" w:styleId="22">
    <w:name w:val="Заголовок 2 Знак"/>
    <w:basedOn w:val="a0"/>
    <w:uiPriority w:val="9"/>
    <w:semiHidden/>
    <w:qFormat/>
    <w:rPr>
      <w:rFonts w:ascii="Calibri Light" w:eastAsia="Calibri Light" w:hAnsi="Calibri Light" w:cs="Calibri Light"/>
      <w:color w:val="2F5496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0">
    <w:name w:val="Текст примечания Знак"/>
    <w:basedOn w:val="a0"/>
    <w:uiPriority w:val="99"/>
    <w:semiHidden/>
    <w:qFormat/>
    <w:rPr>
      <w:sz w:val="20"/>
      <w:szCs w:val="20"/>
    </w:rPr>
  </w:style>
  <w:style w:type="character" w:customStyle="1" w:styleId="af1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2">
    <w:name w:val="line number"/>
  </w:style>
  <w:style w:type="character" w:styleId="af3">
    <w:name w:val="FollowedHyperlink"/>
    <w:rPr>
      <w:color w:val="800000"/>
      <w:u w:val="single"/>
    </w:rPr>
  </w:style>
  <w:style w:type="paragraph" w:styleId="af4">
    <w:name w:val="Title"/>
    <w:basedOn w:val="a"/>
    <w:next w:val="af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5">
    <w:name w:val="Body Text"/>
    <w:basedOn w:val="a"/>
    <w:uiPriority w:val="99"/>
    <w:unhideWhenUsed/>
    <w:pPr>
      <w:spacing w:after="120"/>
    </w:pPr>
  </w:style>
  <w:style w:type="paragraph" w:styleId="af6">
    <w:name w:val="List"/>
    <w:basedOn w:val="af5"/>
    <w:rPr>
      <w:rFonts w:ascii="PT Astra Serif" w:hAnsi="PT Astra Serif" w:cs="FreeSans"/>
    </w:rPr>
  </w:style>
  <w:style w:type="paragraph" w:styleId="af7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f8">
    <w:name w:val="index heading"/>
    <w:basedOn w:val="af4"/>
  </w:style>
  <w:style w:type="paragraph" w:styleId="af9">
    <w:name w:val="No Spacing"/>
    <w:uiPriority w:val="1"/>
    <w:qFormat/>
  </w:style>
  <w:style w:type="paragraph" w:styleId="afa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3">
    <w:name w:val="Quote"/>
    <w:basedOn w:val="a"/>
    <w:uiPriority w:val="29"/>
    <w:qFormat/>
    <w:pPr>
      <w:ind w:left="720" w:right="720"/>
    </w:pPr>
    <w:rPr>
      <w:i/>
    </w:rPr>
  </w:style>
  <w:style w:type="paragraph" w:styleId="afb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styleId="afc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d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4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  <w:qFormat/>
    <w:pPr>
      <w:spacing w:after="160" w:line="259" w:lineRule="auto"/>
    </w:pPr>
  </w:style>
  <w:style w:type="paragraph" w:styleId="aff">
    <w:name w:val="table of figures"/>
    <w:basedOn w:val="a"/>
    <w:uiPriority w:val="99"/>
    <w:unhideWhenUsed/>
    <w:pPr>
      <w:spacing w:after="0"/>
    </w:pPr>
  </w:style>
  <w:style w:type="paragraph" w:customStyle="1" w:styleId="aff0">
    <w:name w:val="НЭК.ТЕХ"/>
    <w:basedOn w:val="a"/>
    <w:qFormat/>
    <w:pPr>
      <w:spacing w:after="0" w:line="240" w:lineRule="auto"/>
      <w:jc w:val="center"/>
    </w:pPr>
    <w:rPr>
      <w:rFonts w:ascii="Golos Text" w:hAnsi="Golos Text" w:cs="Golos Text"/>
    </w:rPr>
  </w:style>
  <w:style w:type="paragraph" w:customStyle="1" w:styleId="HeaderandFooter">
    <w:name w:val="Header and Footer"/>
    <w:basedOn w:val="a"/>
    <w:qFormat/>
  </w:style>
  <w:style w:type="paragraph" w:styleId="aff1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2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3">
    <w:name w:val="Body Text Indent"/>
    <w:basedOn w:val="a"/>
    <w:uiPriority w:val="99"/>
    <w:unhideWhenUsed/>
    <w:pPr>
      <w:ind w:firstLine="567"/>
      <w:jc w:val="both"/>
    </w:pPr>
    <w:rPr>
      <w:rFonts w:ascii="Arial" w:hAnsi="Arial" w:cs="Arial"/>
    </w:rPr>
  </w:style>
  <w:style w:type="paragraph" w:styleId="25">
    <w:name w:val="Body Text Indent 2"/>
    <w:basedOn w:val="a"/>
    <w:uiPriority w:val="99"/>
    <w:unhideWhenUsed/>
    <w:qFormat/>
    <w:pPr>
      <w:spacing w:after="0" w:line="240" w:lineRule="auto"/>
      <w:ind w:firstLine="567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paragraph" w:styleId="32">
    <w:name w:val="Body Text Indent 3"/>
    <w:basedOn w:val="a"/>
    <w:uiPriority w:val="99"/>
    <w:unhideWhenUsed/>
    <w:qFormat/>
    <w:pPr>
      <w:spacing w:after="0" w:line="240" w:lineRule="auto"/>
      <w:ind w:firstLine="567"/>
      <w:jc w:val="both"/>
    </w:pPr>
    <w:rPr>
      <w:rFonts w:ascii="Arial" w:hAnsi="Arial" w:cs="Arial"/>
      <w:color w:val="000000"/>
      <w:shd w:val="clear" w:color="auto" w:fill="FFFFFF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2"/>
    <w:basedOn w:val="a"/>
    <w:uiPriority w:val="99"/>
    <w:unhideWhenUsed/>
    <w:qFormat/>
    <w:rPr>
      <w:rFonts w:ascii="Arial" w:hAnsi="Arial" w:cs="Arial"/>
      <w:sz w:val="24"/>
      <w:szCs w:val="24"/>
    </w:rPr>
  </w:style>
  <w:style w:type="paragraph" w:customStyle="1" w:styleId="ds-markdown-paragraph">
    <w:name w:val="ds-markdown-paragraph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annotation text"/>
    <w:basedOn w:val="a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ff6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7">
    <w:name w:val="List Paragraph"/>
    <w:basedOn w:val="a"/>
    <w:uiPriority w:val="34"/>
    <w:qFormat/>
    <w:pPr>
      <w:ind w:left="720"/>
      <w:contextualSpacing/>
    </w:pPr>
  </w:style>
  <w:style w:type="paragraph" w:customStyle="1" w:styleId="LO-normal">
    <w:name w:val="LO-normal"/>
    <w:qFormat/>
    <w:pPr>
      <w:widowControl w:val="0"/>
    </w:pPr>
    <w:rPr>
      <w:lang w:eastAsia="zh-CN" w:bidi="hi-IN"/>
    </w:rPr>
  </w:style>
  <w:style w:type="numbering" w:customStyle="1" w:styleId="aff8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astragroup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c.pro/" TargetMode="External"/><Relationship Id="rId1" Type="http://schemas.openxmlformats.org/officeDocument/2006/relationships/hyperlink" Target="https://nectech.pro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c.pro/" TargetMode="External"/><Relationship Id="rId1" Type="http://schemas.openxmlformats.org/officeDocument/2006/relationships/hyperlink" Target="https://nectech.pro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nectech.pro/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nectech.p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Лещинская Людмила Вячеславовна</dc:creator>
  <dc:description/>
  <cp:lastModifiedBy>Лещинская Людмила Вячеславовна</cp:lastModifiedBy>
  <cp:revision>2</cp:revision>
  <dcterms:created xsi:type="dcterms:W3CDTF">2026-09-29T10:37:00Z</dcterms:created>
  <dcterms:modified xsi:type="dcterms:W3CDTF">2026-09-29T10:37:00Z</dcterms:modified>
  <dc:language>ru-RU</dc:language>
</cp:coreProperties>
</file>