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D44E8" w:rsidRDefault="00000000">
      <w:pPr>
        <w:pStyle w:val="1"/>
        <w:keepNext w:val="0"/>
        <w:keepLines w:val="0"/>
        <w:spacing w:after="80"/>
      </w:pPr>
      <w:bookmarkStart w:id="0" w:name="_p67rnkzflte8" w:colFirst="0" w:colLast="0"/>
      <w:bookmarkEnd w:id="0"/>
      <w:r>
        <w:t xml:space="preserve">Samplex представил LED-технологии нового поколения на </w:t>
      </w:r>
      <w:proofErr w:type="spellStart"/>
      <w:r>
        <w:t>Light+Audio</w:t>
      </w:r>
      <w:proofErr w:type="spellEnd"/>
      <w:r>
        <w:t xml:space="preserve"> </w:t>
      </w:r>
      <w:proofErr w:type="spellStart"/>
      <w:r>
        <w:t>Tec</w:t>
      </w:r>
      <w:proofErr w:type="spellEnd"/>
      <w:r>
        <w:t xml:space="preserve"> 2026</w:t>
      </w:r>
    </w:p>
    <w:p w14:paraId="00000002" w14:textId="77777777" w:rsidR="00AD44E8" w:rsidRDefault="00000000">
      <w:pPr>
        <w:spacing w:after="160"/>
        <w:rPr>
          <w:i/>
          <w:iCs/>
        </w:rPr>
      </w:pPr>
      <w:r>
        <w:rPr>
          <w:i/>
          <w:iCs/>
        </w:rPr>
        <w:t xml:space="preserve">Ультратонкие LED-экраны, двухсторонняя серия с независимой конфигурацией сторон, экраны с разным пиксельным шагом — </w:t>
      </w:r>
      <w:proofErr w:type="spellStart"/>
      <w:r>
        <w:rPr>
          <w:i/>
          <w:iCs/>
        </w:rPr>
        <w:t>Samplex</w:t>
      </w:r>
      <w:proofErr w:type="spellEnd"/>
      <w:r>
        <w:rPr>
          <w:i/>
          <w:iCs/>
        </w:rPr>
        <w:t xml:space="preserve"> представил на </w:t>
      </w:r>
      <w:proofErr w:type="spellStart"/>
      <w:r>
        <w:rPr>
          <w:i/>
          <w:iCs/>
        </w:rPr>
        <w:t>Light+Audio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Tec</w:t>
      </w:r>
      <w:proofErr w:type="spellEnd"/>
      <w:r>
        <w:rPr>
          <w:i/>
          <w:iCs/>
        </w:rPr>
        <w:t xml:space="preserve"> 2026 решения, меняющие представление о возможностях интеграции LED в проектах.</w:t>
      </w:r>
    </w:p>
    <w:p w14:paraId="00000003" w14:textId="61A19E37" w:rsidR="00AD44E8" w:rsidRPr="00B414F7" w:rsidRDefault="00000000">
      <w:pPr>
        <w:spacing w:after="160"/>
        <w:rPr>
          <w:lang w:val="ru-RU"/>
        </w:rPr>
      </w:pPr>
      <w:r>
        <w:t xml:space="preserve">C 15 по 17 сентября в Москве прошла международная выставка </w:t>
      </w:r>
      <w:proofErr w:type="spellStart"/>
      <w:r>
        <w:t>Light+Audio</w:t>
      </w:r>
      <w:proofErr w:type="spellEnd"/>
      <w:r>
        <w:t xml:space="preserve"> </w:t>
      </w:r>
      <w:proofErr w:type="spellStart"/>
      <w:r>
        <w:t>Tec</w:t>
      </w:r>
      <w:proofErr w:type="spellEnd"/>
      <w:r>
        <w:t xml:space="preserve"> — одно из ключевых событий в стране в области профессионального светового, аудио-</w:t>
      </w:r>
      <w:r w:rsidR="00B414F7">
        <w:rPr>
          <w:lang w:val="ru-RU"/>
        </w:rPr>
        <w:t xml:space="preserve"> </w:t>
      </w:r>
      <w:proofErr w:type="gramStart"/>
      <w:r w:rsidR="00B414F7">
        <w:rPr>
          <w:lang w:val="ru-RU"/>
        </w:rPr>
        <w:t xml:space="preserve">и </w:t>
      </w:r>
      <w:r>
        <w:t xml:space="preserve"> видеооборудования</w:t>
      </w:r>
      <w:proofErr w:type="gramEnd"/>
      <w:r>
        <w:t>. Впервые в мероприятии в Москве принял участие производитель светодиодных дисплеев Samplex. Команда российского официального представительства совместно со специалистами головного офиса из Китая проводила консультации на стенде, рассказывала о характеристиках оборудования и практическом использовании в проектах.</w:t>
      </w:r>
    </w:p>
    <w:p w14:paraId="00000004" w14:textId="103F883D" w:rsidR="00AD44E8" w:rsidRDefault="00000000">
      <w:pPr>
        <w:spacing w:after="160"/>
      </w:pPr>
      <w:r>
        <w:t xml:space="preserve">Главной задачей экспозиции Samplex было познакомить российский рынок </w:t>
      </w:r>
      <w:proofErr w:type="spellStart"/>
      <w:r>
        <w:t>proAV</w:t>
      </w:r>
      <w:proofErr w:type="spellEnd"/>
      <w:r>
        <w:t xml:space="preserve"> с новым подходом к проектированию LED в пространстве – экран не нужно вписывать в архитектуру, достаточно определить ему место в интерьере. Посетители могли увидеть продукты Samplex для ритейла, корпоративных пространств, банков, культурных и мультимедийных проектов — готовые решения с различными вариантами монтажа, форм-факторами и техническими конфигурациями.</w:t>
      </w:r>
    </w:p>
    <w:p w14:paraId="00000005" w14:textId="4C05897C" w:rsidR="00AD44E8" w:rsidRDefault="00000000">
      <w:pPr>
        <w:spacing w:after="160"/>
      </w:pPr>
      <w:r>
        <w:t xml:space="preserve">Самый тонкий из представленных на стенде – экран 136" </w:t>
      </w:r>
      <w:r w:rsidRPr="00891847">
        <w:rPr>
          <w:b/>
          <w:bCs/>
        </w:rPr>
        <w:t xml:space="preserve">модели </w:t>
      </w:r>
      <w:r w:rsidR="00AD44E8" w:rsidRPr="00891847">
        <w:rPr>
          <w:b/>
          <w:bCs/>
        </w:rPr>
        <w:t>WP-S15</w:t>
      </w:r>
      <w:r>
        <w:t xml:space="preserve"> толщиной всего 10 мм. Гости могли убедиться в этом лично: один край экрана расположили на специальном выступе и к нему регулярно подходили с рулетками. Решение вызвало особый интерес у дизайнеров и архитекторов, для которых важны визуальная чистота и эстетичный вид, а также скрытый монтаж без специальных ниш. Экран рекомендован для использования в офисах, ТЦ, диспетчерских, общественных пространствах, в качестве домашнего кинотеатра. Несмотря на внушительный размер, вес конструкции в экспозиции составил менее 65 кг. Для случаев, где предпочтителен подвесной формат, Samplex представил ультратонкий LED серии </w:t>
      </w:r>
      <w:r>
        <w:rPr>
          <w:b/>
          <w:bCs/>
        </w:rPr>
        <w:t>WP-S с шагом пикселя 1,2 мм</w:t>
      </w:r>
      <w:r>
        <w:t>.</w:t>
      </w:r>
    </w:p>
    <w:p w14:paraId="00000006" w14:textId="1B65F46B" w:rsidR="00AD44E8" w:rsidRDefault="00000000">
      <w:pPr>
        <w:spacing w:after="160"/>
      </w:pPr>
      <w:r>
        <w:t xml:space="preserve">Внимание посетителей привлек </w:t>
      </w:r>
      <w:r w:rsidR="00AD44E8" w:rsidRPr="00891847">
        <w:t xml:space="preserve">двухсторонний </w:t>
      </w:r>
      <w:r w:rsidR="00AD44E8" w:rsidRPr="00891847">
        <w:rPr>
          <w:b/>
          <w:bCs/>
        </w:rPr>
        <w:t>LED-экран серии P-DF</w:t>
      </w:r>
      <w:r w:rsidRPr="00891847">
        <w:t>,</w:t>
      </w:r>
      <w:r>
        <w:t xml:space="preserve"> предназначенный для витрин, торговых центров и других объектов, где изображение должно быть одинаково хорошо видно снаружи и изнутри помещения. Технология предусматривает для каждой стороны собственную конфигурацию в зависимости от условий. Например, внешняя сторона может быть адаптирована для работы при ярком естественном освещении, а внутренняя – для близкого просмотра в помещении. На площадке показали экран с шагом пикселя 2,6 мм и яркостью до 3000 кд/м² для наружной стороны и шагом 1,56 мм и яркостью 800 кд/м² – для внутренней. Однако экран P-DF может иметь другие параметры, в том числе идентичные с обеих сторон, если того требует проект. Воспроизводимый контент с каждой стороны может отличаться или быть одинаковым. Неизменна толщина экрана – 26 мм. Конструкция подходит для подвесного монтажа и интеграции в стационарные витрины.</w:t>
      </w:r>
    </w:p>
    <w:p w14:paraId="00000007" w14:textId="77777777" w:rsidR="00AD44E8" w:rsidRDefault="00000000">
      <w:pPr>
        <w:spacing w:after="160"/>
        <w:rPr>
          <w:rFonts w:ascii="Roboto" w:eastAsia="Roboto" w:hAnsi="Roboto" w:cs="Roboto"/>
          <w:color w:val="444746"/>
          <w:sz w:val="21"/>
          <w:szCs w:val="21"/>
        </w:rPr>
      </w:pPr>
      <w:r>
        <w:lastRenderedPageBreak/>
        <w:t xml:space="preserve">Команда Samplex также позаботилась о будущих проектах и удобстве показа технологии на территории заказчика. Экран в формате мобильного комплекта </w:t>
      </w:r>
      <w:r>
        <w:rPr>
          <w:b/>
          <w:bCs/>
        </w:rPr>
        <w:t>с шагом пикселя 0,7 мм</w:t>
      </w:r>
      <w:r>
        <w:t xml:space="preserve"> нашёл своё заслуженное место в экспозиции. Решение может использоваться для демонстрации возможностей во время визита к заказчику и на выездных форумах с партнёрами.</w:t>
      </w:r>
    </w:p>
    <w:p w14:paraId="00000008" w14:textId="0E80328A" w:rsidR="00AD44E8" w:rsidRDefault="00000000">
      <w:pPr>
        <w:spacing w:after="160"/>
      </w:pPr>
      <w:r>
        <w:t xml:space="preserve">Для проектов, требующих высокого качества изображения и особенно плотной интеграции дисплея в интерьер, например, в банковском и корпоративном секторе, демонстрировались </w:t>
      </w:r>
      <w:r w:rsidR="00AD44E8" w:rsidRPr="00891847">
        <w:rPr>
          <w:b/>
          <w:bCs/>
        </w:rPr>
        <w:t>экраны SAMPLEX WP-C</w:t>
      </w:r>
      <w:r w:rsidR="00AD44E8">
        <w:rPr>
          <w:b/>
          <w:bCs/>
          <w:color w:val="1155CC"/>
          <w:u w:val="single"/>
        </w:rPr>
        <w:t xml:space="preserve"> </w:t>
      </w:r>
      <w:r>
        <w:t>на базе COB-технологии и в разных конфигурациях. Толщина серии — 14 мм.</w:t>
      </w:r>
    </w:p>
    <w:p w14:paraId="00000009" w14:textId="77777777" w:rsidR="00AD44E8" w:rsidRDefault="00000000">
      <w:r>
        <w:t xml:space="preserve">Для управления контентом на стенде использовали </w:t>
      </w:r>
      <w:proofErr w:type="spellStart"/>
      <w:r>
        <w:t>Cubic</w:t>
      </w:r>
      <w:proofErr w:type="spellEnd"/>
      <w:r>
        <w:t xml:space="preserve"> Vision PRO — платформу Кубик Медиа, которая объединяет редактор </w:t>
      </w:r>
      <w:proofErr w:type="spellStart"/>
      <w:r>
        <w:t>Cubic</w:t>
      </w:r>
      <w:proofErr w:type="spellEnd"/>
      <w:r>
        <w:t xml:space="preserve"> Studio и медиаплееры с операционной системой </w:t>
      </w:r>
      <w:proofErr w:type="spellStart"/>
      <w:r>
        <w:t>Cubic</w:t>
      </w:r>
      <w:proofErr w:type="spellEnd"/>
      <w:r>
        <w:t xml:space="preserve"> OS.</w:t>
      </w:r>
    </w:p>
    <w:p w14:paraId="0000000A" w14:textId="77777777" w:rsidR="00AD44E8" w:rsidRDefault="00000000">
      <w:pPr>
        <w:spacing w:before="240" w:after="240"/>
      </w:pPr>
      <w:r>
        <w:rPr>
          <w:i/>
          <w:iCs/>
        </w:rPr>
        <w:t xml:space="preserve">«Вместе с командой Samplex мы подготовили показ контента: он шел через пять медиаплееров под управлением платформы </w:t>
      </w:r>
      <w:proofErr w:type="spellStart"/>
      <w:r>
        <w:rPr>
          <w:i/>
          <w:iCs/>
        </w:rPr>
        <w:t>Cubic</w:t>
      </w:r>
      <w:proofErr w:type="spellEnd"/>
      <w:r>
        <w:rPr>
          <w:i/>
          <w:iCs/>
        </w:rPr>
        <w:t xml:space="preserve"> Vision PRO; один из них обслуживал обе стороны двустороннего экрана. Групповыми командами можно было запускать приветствия на трех языках, менять брендирование, выводить контент, интересный конкретным пользователям. Например, слайды, презентации и видео по вертикалям рынка», – </w:t>
      </w:r>
      <w:r>
        <w:t>прокомментировал Николай Соколовский, менеджер по развитию бизнеса Кубик Медиа.</w:t>
      </w:r>
    </w:p>
    <w:p w14:paraId="0000000B" w14:textId="77777777" w:rsidR="00AD44E8" w:rsidRDefault="00000000">
      <w:pPr>
        <w:spacing w:after="160"/>
      </w:pPr>
      <w:r>
        <w:t>В свою очередь директор официального представительства Samplex Russia &amp; CIS Дмитрий Минаков обратил внимание, что бизнес и заказчики сегодня прежде всего заинтересованы в комплексных работающих системах. «</w:t>
      </w:r>
      <w:r>
        <w:rPr>
          <w:i/>
          <w:iCs/>
        </w:rPr>
        <w:t xml:space="preserve">Мы считаем партнерство Samplex и Кубик Медиа перспективным. Готовое решение </w:t>
      </w:r>
      <w:proofErr w:type="spellStart"/>
      <w:r>
        <w:rPr>
          <w:i/>
          <w:iCs/>
        </w:rPr>
        <w:t>digital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signage</w:t>
      </w:r>
      <w:proofErr w:type="spellEnd"/>
      <w:r>
        <w:rPr>
          <w:i/>
          <w:iCs/>
        </w:rPr>
        <w:t xml:space="preserve"> обеспечит поддержку на этапе проектирования и позволит заказчикам быть уверенными в конечном результате»</w:t>
      </w:r>
      <w:r>
        <w:t>, – добавил он.</w:t>
      </w:r>
    </w:p>
    <w:p w14:paraId="0000000C" w14:textId="77777777" w:rsidR="00AD44E8" w:rsidRDefault="00000000">
      <w:pPr>
        <w:spacing w:after="160"/>
      </w:pPr>
      <w:r>
        <w:t xml:space="preserve">Экспозиция </w:t>
      </w:r>
      <w:proofErr w:type="spellStart"/>
      <w:r>
        <w:t>Samplex</w:t>
      </w:r>
      <w:proofErr w:type="spellEnd"/>
      <w:r>
        <w:t xml:space="preserve"> на </w:t>
      </w:r>
      <w:proofErr w:type="spellStart"/>
      <w:r>
        <w:t>Light+Audio</w:t>
      </w:r>
      <w:proofErr w:type="spellEnd"/>
      <w:r>
        <w:t xml:space="preserve"> </w:t>
      </w:r>
      <w:proofErr w:type="spellStart"/>
      <w:r>
        <w:t>Tec</w:t>
      </w:r>
      <w:proofErr w:type="spellEnd"/>
      <w:r>
        <w:t xml:space="preserve"> 2026 показала – LED-технологии постепенно выходят за рамки традиционных громоздких видеостен, позволяя проектировать светодиодные экраны как полноценную часть архитектуры как на этапе строительства, так и в чистовой отделке. Специалисты и партнёры могут познакомиться с решениями компании и протестировать их в московском шоуруме Samplex.</w:t>
      </w:r>
    </w:p>
    <w:p w14:paraId="0000000D" w14:textId="77777777" w:rsidR="00AD44E8" w:rsidRDefault="00000000">
      <w:pPr>
        <w:spacing w:after="160"/>
      </w:pPr>
      <w:r>
        <w:t xml:space="preserve"> </w:t>
      </w:r>
    </w:p>
    <w:p w14:paraId="0000000E" w14:textId="77777777" w:rsidR="00AD44E8" w:rsidRDefault="00AD44E8"/>
    <w:sectPr w:rsidR="00AD44E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9DBB89E5-3BE6-4039-941C-FD5E3B28F93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EF750C1B-5170-438A-B610-4C77052FB78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4A72E7F-74AB-4D08-9A73-12754ABBAA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4E8"/>
    <w:rsid w:val="007C1E94"/>
    <w:rsid w:val="00886CBA"/>
    <w:rsid w:val="00891847"/>
    <w:rsid w:val="00AD44E8"/>
    <w:rsid w:val="00B414F7"/>
    <w:rsid w:val="00F6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B921D"/>
  <w15:docId w15:val="{D3C6ACA1-6C93-462B-9710-C560AD2B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Королева</dc:creator>
  <cp:lastModifiedBy>Irina</cp:lastModifiedBy>
  <cp:revision>3</cp:revision>
  <dcterms:created xsi:type="dcterms:W3CDTF">2026-10-01T12:24:00Z</dcterms:created>
  <dcterms:modified xsi:type="dcterms:W3CDTF">2026-10-06T11:57:00Z</dcterms:modified>
</cp:coreProperties>
</file>