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AE17" w14:textId="77777777" w:rsidR="00076B35" w:rsidRDefault="0074763A">
      <w:pPr>
        <w:rPr>
          <w:color w:val="001E49"/>
        </w:rPr>
      </w:pPr>
      <w:r>
        <w:rPr>
          <w:noProof/>
          <w:color w:val="001E49"/>
        </w:rPr>
        <w:drawing>
          <wp:inline distT="0" distB="0" distL="0" distR="0" wp14:anchorId="26E71645" wp14:editId="0A4E2C23">
            <wp:extent cx="2810051" cy="320247"/>
            <wp:effectExtent l="0" t="0" r="0" b="0"/>
            <wp:docPr id="2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0051" cy="3202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307886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  <w:sz w:val="28"/>
          <w:szCs w:val="28"/>
        </w:rPr>
      </w:pPr>
      <w:r>
        <w:rPr>
          <w:rFonts w:ascii="Arial" w:eastAsia="Arial" w:hAnsi="Arial" w:cs="Arial"/>
          <w:b/>
          <w:bCs/>
          <w:color w:val="0F1115"/>
          <w:sz w:val="28"/>
          <w:szCs w:val="28"/>
        </w:rPr>
        <w:t>Энерджинет и ТЭСС представили на РЭН технологию, которая обеспечивает устойчивость энергосистем при внешних угрозах</w:t>
      </w:r>
    </w:p>
    <w:p w14:paraId="018CBA86" w14:textId="2F4EDEA9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  <w:bCs/>
          <w:color w:val="0F1115"/>
        </w:rPr>
      </w:pPr>
      <w:r>
        <w:rPr>
          <w:rFonts w:ascii="Arial" w:eastAsia="Arial" w:hAnsi="Arial" w:cs="Arial"/>
          <w:b/>
          <w:bCs/>
          <w:color w:val="0F1115"/>
        </w:rPr>
        <w:t>Москва, 1</w:t>
      </w:r>
      <w:r w:rsidR="00273C24">
        <w:rPr>
          <w:rFonts w:ascii="Arial" w:eastAsia="Arial" w:hAnsi="Arial" w:cs="Arial"/>
          <w:b/>
          <w:bCs/>
          <w:color w:val="0F1115"/>
          <w:lang w:val="ru-RU"/>
        </w:rPr>
        <w:t>6</w:t>
      </w:r>
      <w:r>
        <w:rPr>
          <w:rFonts w:ascii="Arial" w:eastAsia="Arial" w:hAnsi="Arial" w:cs="Arial"/>
          <w:b/>
          <w:bCs/>
          <w:color w:val="0F1115"/>
        </w:rPr>
        <w:t xml:space="preserve"> октября 2026 года.</w:t>
      </w:r>
      <w:r>
        <w:rPr>
          <w:rFonts w:ascii="Arial" w:eastAsia="Arial" w:hAnsi="Arial" w:cs="Arial"/>
          <w:color w:val="0F1115"/>
        </w:rPr>
        <w:t xml:space="preserve"> </w:t>
      </w:r>
      <w:r>
        <w:rPr>
          <w:rFonts w:ascii="Arial" w:eastAsia="Arial" w:hAnsi="Arial" w:cs="Arial"/>
          <w:b/>
          <w:bCs/>
          <w:color w:val="0F1115"/>
        </w:rPr>
        <w:t>На Российской энергетической неделе Энерджинет и ТЭСС представили технологию распределённой малой энергетики, которая обеспечивает устойчивость энергосистем даже при внешних атаках и каскадных авариях.</w:t>
      </w:r>
    </w:p>
    <w:p w14:paraId="0EDC5450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color w:val="0F1115"/>
        </w:rPr>
        <w:t>В основе технологии – интеллектуальная локальная энерг</w:t>
      </w:r>
      <w:r>
        <w:rPr>
          <w:rFonts w:ascii="Arial" w:eastAsia="Arial" w:hAnsi="Arial" w:cs="Arial"/>
          <w:color w:val="0F1115"/>
        </w:rPr>
        <w:t>осистема ИЛЭС. Это совместная разработка учёных Новосибирского государственного технического университета (НГТУ) и инженеров ТЭСС. Запатентованные способы управления ИЛЭС созданы под задачи российской энергетики, с учётом расстояний, климата и доступных ис</w:t>
      </w:r>
      <w:r>
        <w:rPr>
          <w:rFonts w:ascii="Arial" w:eastAsia="Arial" w:hAnsi="Arial" w:cs="Arial"/>
          <w:color w:val="0F1115"/>
        </w:rPr>
        <w:t>точников энергии. ИЛЭС представляет собой энергоцентр рядом с потребителем: заводом, ЦОДом, жилым кварталом. Генерация, накопители, распределение энергии и автоматика действуют в нём как одно целое. Система интегрируется с централизованной сетью и может ра</w:t>
      </w:r>
      <w:r>
        <w:rPr>
          <w:rFonts w:ascii="Arial" w:eastAsia="Arial" w:hAnsi="Arial" w:cs="Arial"/>
          <w:color w:val="0F1115"/>
        </w:rPr>
        <w:t xml:space="preserve">ботать как параллельно, так и автономно. У неё нет единого центра управления, который можно вывести из строя: при аварии участок сети за доли секунды отделяется вместе с потребителями и продолжает функционировать. </w:t>
      </w:r>
    </w:p>
    <w:p w14:paraId="359B4C4B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color w:val="0F1115"/>
        </w:rPr>
        <w:t>Следующая ступень развития технологии – о</w:t>
      </w:r>
      <w:r>
        <w:rPr>
          <w:rFonts w:ascii="Arial" w:eastAsia="Arial" w:hAnsi="Arial" w:cs="Arial"/>
          <w:color w:val="0F1115"/>
        </w:rPr>
        <w:t>бъединение нескольких ИЛЭС в одну систему (территориально интегрированные ИЛЭС, или ТИЛИЭС) под управлением роевого ИИ экспертного типа. Энергоцентры внутри ТИЛИЭС согласуют работу без диспетчерского центра: если один узел выходит из строя, остальные перер</w:t>
      </w:r>
      <w:r>
        <w:rPr>
          <w:rFonts w:ascii="Arial" w:eastAsia="Arial" w:hAnsi="Arial" w:cs="Arial"/>
          <w:color w:val="0F1115"/>
        </w:rPr>
        <w:t>аспределяют нагрузку. Система сохраняет работоспособность при выходе из строя до 30% узлов. В отличие от нейросети, роевой ИИ действует по правилам, которые прописали инженеры, – как диспетчер по инструкции, только за миллисекунды. Каждое его решение прохо</w:t>
      </w:r>
      <w:r>
        <w:rPr>
          <w:rFonts w:ascii="Arial" w:eastAsia="Arial" w:hAnsi="Arial" w:cs="Arial"/>
          <w:color w:val="0F1115"/>
        </w:rPr>
        <w:t>дит проверку допустимости действий.</w:t>
      </w:r>
    </w:p>
    <w:p w14:paraId="21CAA650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i/>
          <w:iCs/>
          <w:color w:val="0F1115"/>
        </w:rPr>
      </w:pPr>
      <w:r>
        <w:rPr>
          <w:rFonts w:ascii="Arial" w:eastAsia="Arial" w:hAnsi="Arial" w:cs="Arial"/>
          <w:i/>
          <w:iCs/>
          <w:color w:val="0F1115"/>
        </w:rPr>
        <w:t xml:space="preserve">«Сегодня энергетика страны строится вокруг крупных станций и подстанций, и авария в одном узле может обесточить целый район, – отмечает </w:t>
      </w:r>
      <w:r>
        <w:rPr>
          <w:rFonts w:ascii="Arial" w:eastAsia="Arial" w:hAnsi="Arial" w:cs="Arial"/>
          <w:b/>
          <w:bCs/>
          <w:i/>
          <w:iCs/>
          <w:color w:val="0F1115"/>
        </w:rPr>
        <w:t>Александр Холдин</w:t>
      </w:r>
      <w:r>
        <w:rPr>
          <w:rFonts w:ascii="Arial" w:eastAsia="Arial" w:hAnsi="Arial" w:cs="Arial"/>
          <w:i/>
          <w:iCs/>
          <w:color w:val="0F1115"/>
        </w:rPr>
        <w:t>, генеральный директор АО «ТЭСС». – Мы же предлагаем технологию, которая обеспечивает устойчивость энергосистем к внешним атакам и каскадным отключениям: если оборудование выходит из строя, система сама себя пересобирает. При этом мы не конкурируем с центр</w:t>
      </w:r>
      <w:r>
        <w:rPr>
          <w:rFonts w:ascii="Arial" w:eastAsia="Arial" w:hAnsi="Arial" w:cs="Arial"/>
          <w:i/>
          <w:iCs/>
          <w:color w:val="0F1115"/>
        </w:rPr>
        <w:t>ализованной сетью, а дополняем её. Технология работает на открытой платформе, а значит, не зависит от одного поставщика. Это и есть суверенная энергетика нового поколения».</w:t>
      </w:r>
    </w:p>
    <w:p w14:paraId="765B0AC0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color w:val="0F1115"/>
        </w:rPr>
        <w:t>Техприсоединение к централизованным сетям по технологии ТЭСС обходится в 1,5-3 раза</w:t>
      </w:r>
      <w:r>
        <w:rPr>
          <w:rFonts w:ascii="Arial" w:eastAsia="Arial" w:hAnsi="Arial" w:cs="Arial"/>
          <w:color w:val="0F1115"/>
        </w:rPr>
        <w:t xml:space="preserve"> дешевле, чем по классической схеме: достаточно оборудования более низкого класса напряжения, например 35 кВ вместо 110 кВ, и одного трансформатора вместо двух. Киловатт-час локального энергоцентра – 3-6 рублей против 7-11 рублей из сети. Срок окупаемости </w:t>
      </w:r>
      <w:r>
        <w:rPr>
          <w:rFonts w:ascii="Arial" w:eastAsia="Arial" w:hAnsi="Arial" w:cs="Arial"/>
          <w:color w:val="0F1115"/>
        </w:rPr>
        <w:t>решения – от 2 до 6 лет в зависимости от региона, цены газа и профиля нагрузки. Мощность наращивается блоками от 250 кВт до 200 МВт и более без переделки системы – можно вводить её поэтапно, по мере роста нагрузки.</w:t>
      </w:r>
    </w:p>
    <w:p w14:paraId="1DB850BA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color w:val="0F1115"/>
        </w:rPr>
        <w:lastRenderedPageBreak/>
        <w:t>Технология открывает возможности там, где</w:t>
      </w:r>
      <w:r>
        <w:rPr>
          <w:rFonts w:ascii="Arial" w:eastAsia="Arial" w:hAnsi="Arial" w:cs="Arial"/>
          <w:color w:val="0F1115"/>
        </w:rPr>
        <w:t xml:space="preserve"> энергия нужна быстро и надёжно: для ЦОДов, удалённых и изолированных территорий, ЖКХ северных городов. Спрос на неё формируется в новых и приграничных регионах, в Крыму, Белгородской и Воронежской областях. Она востребована на предприятиях с непрерывным ц</w:t>
      </w:r>
      <w:r>
        <w:rPr>
          <w:rFonts w:ascii="Arial" w:eastAsia="Arial" w:hAnsi="Arial" w:cs="Arial"/>
          <w:color w:val="0F1115"/>
        </w:rPr>
        <w:t>иклом производства. Для разных типов объектов разработаны отраслевые модели.</w:t>
      </w:r>
    </w:p>
    <w:p w14:paraId="42FDB57B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i/>
          <w:iCs/>
          <w:color w:val="0F1115"/>
        </w:rPr>
      </w:pPr>
      <w:r>
        <w:rPr>
          <w:rFonts w:ascii="Arial" w:eastAsia="Arial" w:hAnsi="Arial" w:cs="Arial"/>
          <w:i/>
          <w:iCs/>
          <w:color w:val="0F1115"/>
        </w:rPr>
        <w:t>«Самый дорогой киловатт-час – тот, которого не оказалось в момент остановки производства. Поэтому мы считаем не только цену на энергию, но и потери от простоя, стоимость надёжно д</w:t>
      </w:r>
      <w:r>
        <w:rPr>
          <w:rFonts w:ascii="Arial" w:eastAsia="Arial" w:hAnsi="Arial" w:cs="Arial"/>
          <w:i/>
          <w:iCs/>
          <w:color w:val="0F1115"/>
        </w:rPr>
        <w:t xml:space="preserve">оступной мощности и объём капитала, который заказчику необходимо вложить заранее. ИЛЭС объединяет эти параметры в единую экономику проекта, а 22-летний опыт ТЭСС позволяет превращать её в воспроизводимое решение для разных предприятий», – комментирует </w:t>
      </w:r>
      <w:r>
        <w:rPr>
          <w:rFonts w:ascii="Arial" w:eastAsia="Arial" w:hAnsi="Arial" w:cs="Arial"/>
          <w:b/>
          <w:bCs/>
          <w:i/>
          <w:iCs/>
          <w:color w:val="0F1115"/>
        </w:rPr>
        <w:t>Арка</w:t>
      </w:r>
      <w:r>
        <w:rPr>
          <w:rFonts w:ascii="Arial" w:eastAsia="Arial" w:hAnsi="Arial" w:cs="Arial"/>
          <w:b/>
          <w:bCs/>
          <w:i/>
          <w:iCs/>
          <w:color w:val="0F1115"/>
        </w:rPr>
        <w:t>дий Рождественский</w:t>
      </w:r>
      <w:r>
        <w:rPr>
          <w:rFonts w:ascii="Arial" w:eastAsia="Arial" w:hAnsi="Arial" w:cs="Arial"/>
          <w:i/>
          <w:iCs/>
          <w:color w:val="0F1115"/>
        </w:rPr>
        <w:t>, коммерческий директор АО «ТЭСС».</w:t>
      </w:r>
    </w:p>
    <w:p w14:paraId="1A27F538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color w:val="0F1115"/>
        </w:rPr>
        <w:t>Технология ИЛЭС описана в отраслевом стандарте. Он задаёт единые правила для проектирования и эксплуатации таких систем и открыт для всех участников рынка.</w:t>
      </w:r>
    </w:p>
    <w:p w14:paraId="09F72E67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b/>
          <w:bCs/>
          <w:color w:val="0F1115"/>
        </w:rPr>
        <w:t>О ТЭСС</w:t>
      </w:r>
    </w:p>
    <w:p w14:paraId="6ABBDCB6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b/>
          <w:bCs/>
          <w:color w:val="0F1115"/>
        </w:rPr>
        <w:t>ТЭСС</w:t>
      </w:r>
      <w:r>
        <w:rPr>
          <w:rFonts w:ascii="Arial" w:eastAsia="Arial" w:hAnsi="Arial" w:cs="Arial"/>
          <w:color w:val="0F1115"/>
        </w:rPr>
        <w:t xml:space="preserve"> – российский технологический интегр</w:t>
      </w:r>
      <w:r>
        <w:rPr>
          <w:rFonts w:ascii="Arial" w:eastAsia="Arial" w:hAnsi="Arial" w:cs="Arial"/>
          <w:color w:val="0F1115"/>
        </w:rPr>
        <w:t xml:space="preserve">атор энергетической инфраструктуры полного цикла. Компания основана в 2004 году. Разрабатывает программно-технический комплекс и открытую архитектуру ТЭСС|ЛА, а также блочную автоматику для управления распределённой генерацией. В активе компании – 22 года </w:t>
      </w:r>
      <w:r>
        <w:rPr>
          <w:rFonts w:ascii="Arial" w:eastAsia="Arial" w:hAnsi="Arial" w:cs="Arial"/>
          <w:color w:val="0F1115"/>
        </w:rPr>
        <w:t>работы с объектами большой энергетики, нефтехимии, нефтегаза и промышленности, более 800 реализованных проектов и 6 патентов РФ на ключевые алгоритмы управления.</w:t>
      </w:r>
    </w:p>
    <w:p w14:paraId="440F3445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b/>
          <w:bCs/>
          <w:color w:val="0F1115"/>
        </w:rPr>
        <w:t>Об Энерджинет</w:t>
      </w:r>
    </w:p>
    <w:p w14:paraId="1655021A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b/>
          <w:bCs/>
          <w:color w:val="0F1115"/>
        </w:rPr>
        <w:t>Энерджинет</w:t>
      </w:r>
      <w:r>
        <w:rPr>
          <w:rFonts w:ascii="Arial" w:eastAsia="Arial" w:hAnsi="Arial" w:cs="Arial"/>
          <w:color w:val="0F1115"/>
        </w:rPr>
        <w:t xml:space="preserve"> – направление Национальной технологической инициативы, которое объеди</w:t>
      </w:r>
      <w:r>
        <w:rPr>
          <w:rFonts w:ascii="Arial" w:eastAsia="Arial" w:hAnsi="Arial" w:cs="Arial"/>
          <w:color w:val="0F1115"/>
        </w:rPr>
        <w:t>няет российские компании в области интеллектуальной и распределённой энергетики.</w:t>
      </w:r>
    </w:p>
    <w:p w14:paraId="563E5A6A" w14:textId="77777777" w:rsidR="00076B35" w:rsidRDefault="0074763A">
      <w:pPr>
        <w:spacing w:line="276" w:lineRule="auto"/>
        <w:rPr>
          <w:rFonts w:ascii="Arial" w:eastAsia="Arial" w:hAnsi="Arial" w:cs="Arial"/>
          <w:b/>
          <w:bCs/>
          <w:color w:val="404040"/>
        </w:rPr>
      </w:pPr>
      <w:r>
        <w:rPr>
          <w:rFonts w:ascii="Arial" w:eastAsia="Arial" w:hAnsi="Arial" w:cs="Arial"/>
          <w:b/>
          <w:bCs/>
          <w:color w:val="404040"/>
        </w:rPr>
        <w:t>Контактная информация для СМИ:</w:t>
      </w:r>
    </w:p>
    <w:p w14:paraId="311F6C7A" w14:textId="77777777" w:rsidR="00076B35" w:rsidRDefault="007476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76" w:lineRule="auto"/>
        <w:rPr>
          <w:rFonts w:ascii="Arial" w:eastAsia="Arial" w:hAnsi="Arial" w:cs="Arial"/>
          <w:color w:val="0F1115"/>
        </w:rPr>
      </w:pPr>
      <w:r>
        <w:rPr>
          <w:rFonts w:ascii="Arial" w:eastAsia="Arial" w:hAnsi="Arial" w:cs="Arial"/>
          <w:color w:val="0F1115"/>
        </w:rPr>
        <w:t>Юлия Неустроева, +7 993 003 08 60</w:t>
      </w:r>
      <w:r>
        <w:rPr>
          <w:rFonts w:ascii="Arial" w:eastAsia="Arial" w:hAnsi="Arial" w:cs="Arial"/>
          <w:color w:val="0F1115"/>
        </w:rPr>
        <w:br/>
        <w:t>Екатерина Чурбанова, +7 926 554 97 05</w:t>
      </w:r>
    </w:p>
    <w:p w14:paraId="1D91413D" w14:textId="77777777" w:rsidR="00076B35" w:rsidRDefault="0074763A">
      <w:pPr>
        <w:spacing w:line="276" w:lineRule="auto"/>
        <w:rPr>
          <w:rFonts w:ascii="Arial" w:eastAsia="Arial" w:hAnsi="Arial" w:cs="Arial"/>
          <w:color w:val="0563C1"/>
          <w:u w:val="single"/>
        </w:rPr>
      </w:pPr>
      <w:r>
        <w:rPr>
          <w:rFonts w:ascii="Arial" w:eastAsia="Arial" w:hAnsi="Arial" w:cs="Arial"/>
          <w:color w:val="404040"/>
        </w:rPr>
        <w:br/>
      </w:r>
    </w:p>
    <w:p w14:paraId="68808E7C" w14:textId="77777777" w:rsidR="00076B35" w:rsidRDefault="00076B35">
      <w:pPr>
        <w:spacing w:line="276" w:lineRule="auto"/>
        <w:rPr>
          <w:rFonts w:ascii="Arial" w:eastAsia="Arial" w:hAnsi="Arial" w:cs="Arial"/>
        </w:rPr>
      </w:pPr>
    </w:p>
    <w:sectPr w:rsidR="00076B35">
      <w:headerReference w:type="first" r:id="rId8"/>
      <w:footerReference w:type="first" r:id="rId9"/>
      <w:pgSz w:w="11906" w:h="16838"/>
      <w:pgMar w:top="1135" w:right="851" w:bottom="1701" w:left="1701" w:header="992" w:footer="7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54E96" w14:textId="77777777" w:rsidR="0074763A" w:rsidRDefault="0074763A">
      <w:pPr>
        <w:spacing w:after="0" w:line="240" w:lineRule="auto"/>
      </w:pPr>
      <w:r>
        <w:separator/>
      </w:r>
    </w:p>
  </w:endnote>
  <w:endnote w:type="continuationSeparator" w:id="0">
    <w:p w14:paraId="563F2827" w14:textId="77777777" w:rsidR="0074763A" w:rsidRDefault="00747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889A4BE-78E3-45FA-821D-33A8DC45CA24}"/>
    <w:embedBold r:id="rId2" w:fontKey="{C737782B-F303-46B5-BAA2-8C9078352D66}"/>
    <w:embedItalic r:id="rId3" w:fontKey="{AE797F9A-38CA-46C2-AAF2-BD62E44D473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BAC1EBCB-3E24-43B3-A163-098921FFCE9F}"/>
    <w:embedItalic r:id="rId5" w:fontKey="{E4659CBA-296E-4845-9B8B-054717F274E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3EA2949C-4A1C-4042-AC9D-F85E90C5EE5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5226" w14:textId="77777777" w:rsidR="00076B35" w:rsidRDefault="0074763A">
    <w:pPr>
      <w:tabs>
        <w:tab w:val="left" w:pos="7312"/>
      </w:tabs>
      <w:rPr>
        <w:rFonts w:ascii="Arial" w:eastAsia="Arial" w:hAnsi="Arial" w:cs="Arial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A801E01" wp14:editId="300BF364">
          <wp:simplePos x="0" y="0"/>
          <wp:positionH relativeFrom="column">
            <wp:posOffset>-1080134</wp:posOffset>
          </wp:positionH>
          <wp:positionV relativeFrom="paragraph">
            <wp:posOffset>-585823</wp:posOffset>
          </wp:positionV>
          <wp:extent cx="7552706" cy="1435264"/>
          <wp:effectExtent l="0" t="0" r="0" b="0"/>
          <wp:wrapNone/>
          <wp:docPr id="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706" cy="14352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CC22038" w14:textId="77777777" w:rsidR="00076B35" w:rsidRDefault="00076B3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320AA" w14:textId="77777777" w:rsidR="0074763A" w:rsidRDefault="0074763A">
      <w:pPr>
        <w:spacing w:after="0" w:line="240" w:lineRule="auto"/>
      </w:pPr>
      <w:r>
        <w:separator/>
      </w:r>
    </w:p>
  </w:footnote>
  <w:footnote w:type="continuationSeparator" w:id="0">
    <w:p w14:paraId="00B0D7B3" w14:textId="77777777" w:rsidR="0074763A" w:rsidRDefault="00747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86E5E" w14:textId="77777777" w:rsidR="00076B35" w:rsidRDefault="0074763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556F3F" wp14:editId="7499C74F">
          <wp:simplePos x="0" y="0"/>
          <wp:positionH relativeFrom="column">
            <wp:posOffset>801494</wp:posOffset>
          </wp:positionH>
          <wp:positionV relativeFrom="paragraph">
            <wp:posOffset>2542938</wp:posOffset>
          </wp:positionV>
          <wp:extent cx="4331838" cy="4680277"/>
          <wp:effectExtent l="0" t="0" r="0" b="0"/>
          <wp:wrapNone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1838" cy="4680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B35"/>
    <w:rsid w:val="00076B35"/>
    <w:rsid w:val="00273C24"/>
    <w:rsid w:val="0074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57C75"/>
  <w15:docId w15:val="{5FFA64BA-9449-4DF5-B35F-3843723E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uiPriority w:val="9"/>
    <w:rsid w:val="0031501B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4">
    <w:name w:val="header"/>
    <w:link w:val="a5"/>
    <w:uiPriority w:val="99"/>
    <w:unhideWhenUsed/>
    <w:rsid w:val="00202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2A5A"/>
  </w:style>
  <w:style w:type="paragraph" w:styleId="a6">
    <w:name w:val="footer"/>
    <w:link w:val="a7"/>
    <w:uiPriority w:val="99"/>
    <w:unhideWhenUsed/>
    <w:rsid w:val="00202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2A5A"/>
  </w:style>
  <w:style w:type="table" w:styleId="a8">
    <w:name w:val="Table Grid"/>
    <w:basedOn w:val="a1"/>
    <w:uiPriority w:val="39"/>
    <w:rsid w:val="00075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uiPriority w:val="9"/>
    <w:semiHidden/>
    <w:rsid w:val="006456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9">
    <w:name w:val="Hyperlink"/>
    <w:basedOn w:val="a0"/>
    <w:uiPriority w:val="99"/>
    <w:unhideWhenUsed/>
    <w:rsid w:val="009933F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933F0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291568"/>
    <w:rPr>
      <w:sz w:val="16"/>
      <w:szCs w:val="16"/>
    </w:rPr>
  </w:style>
  <w:style w:type="paragraph" w:styleId="ac">
    <w:name w:val="annotation text"/>
    <w:link w:val="ad"/>
    <w:uiPriority w:val="99"/>
    <w:semiHidden/>
    <w:unhideWhenUsed/>
    <w:rsid w:val="0029156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91568"/>
    <w:rPr>
      <w:sz w:val="20"/>
      <w:szCs w:val="20"/>
    </w:rPr>
  </w:style>
  <w:style w:type="character" w:styleId="ae">
    <w:name w:val="Strong"/>
    <w:basedOn w:val="a0"/>
    <w:uiPriority w:val="22"/>
    <w:qFormat/>
    <w:rsid w:val="00291568"/>
    <w:rPr>
      <w:b/>
      <w:bCs/>
    </w:rPr>
  </w:style>
  <w:style w:type="character" w:styleId="af">
    <w:name w:val="Emphasis"/>
    <w:basedOn w:val="a0"/>
    <w:uiPriority w:val="20"/>
    <w:qFormat/>
    <w:rsid w:val="00A30348"/>
    <w:rPr>
      <w:i/>
      <w:iCs/>
    </w:rPr>
  </w:style>
  <w:style w:type="paragraph" w:customStyle="1" w:styleId="ds-markdown-paragraph">
    <w:name w:val="ds-markdown-paragraph"/>
    <w:rsid w:val="000E7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0TCtUo50nnJeBas5ga1hyEYgNw==">CgMxLjA4AHIhMUt5YVJIX0JRejFLcXg5SWlnMkZxLWpQREtERGpsLThV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Неустроева Юлия Федоровна</cp:lastModifiedBy>
  <cp:revision>2</cp:revision>
  <dcterms:created xsi:type="dcterms:W3CDTF">2025-02-07T08:17:00Z</dcterms:created>
  <dcterms:modified xsi:type="dcterms:W3CDTF">2026-10-16T05:34:00Z</dcterms:modified>
</cp:coreProperties>
</file>